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8F1F" w14:textId="5C4C56F1" w:rsidR="00586481" w:rsidRPr="00882323" w:rsidRDefault="00193E04" w:rsidP="00882323">
      <w:pPr>
        <w:pBdr>
          <w:bottom w:val="single" w:sz="4" w:space="1" w:color="auto"/>
        </w:pBdr>
        <w:tabs>
          <w:tab w:val="right" w:pos="9000"/>
        </w:tabs>
      </w:pPr>
      <w:r>
        <w:t>November 2021</w:t>
      </w:r>
      <w:r w:rsidR="00586481" w:rsidRPr="00882323">
        <w:tab/>
        <w:t>2:260</w:t>
      </w:r>
    </w:p>
    <w:p w14:paraId="517E5CAC" w14:textId="77777777" w:rsidR="00586481" w:rsidRPr="00882323" w:rsidRDefault="00586481">
      <w:pPr>
        <w:pStyle w:val="Heading1"/>
        <w:rPr>
          <w:rFonts w:cs="Arial"/>
        </w:rPr>
      </w:pPr>
      <w:r w:rsidRPr="00882323">
        <w:rPr>
          <w:rFonts w:cs="Arial"/>
        </w:rPr>
        <w:t>School Board</w:t>
      </w:r>
    </w:p>
    <w:p w14:paraId="77B6061A" w14:textId="295695FE" w:rsidR="00586481" w:rsidRPr="00431DC0" w:rsidRDefault="00586481" w:rsidP="00431DC0">
      <w:pPr>
        <w:pStyle w:val="Heading2"/>
      </w:pPr>
      <w:r w:rsidRPr="00431DC0">
        <w:t>Uniform Grievance Procedure</w:t>
      </w:r>
      <w:r w:rsidRPr="00431DC0">
        <w:rPr>
          <w:rFonts w:cs="Arial"/>
          <w:u w:val="none"/>
        </w:rPr>
        <w:t xml:space="preserve"> </w:t>
      </w:r>
    </w:p>
    <w:p w14:paraId="1D150890" w14:textId="136E3592" w:rsidR="00586481" w:rsidRPr="00882323" w:rsidRDefault="00586481">
      <w:pPr>
        <w:pStyle w:val="BodyText"/>
      </w:pPr>
      <w:r w:rsidRPr="00292F7C">
        <w:t xml:space="preserve">A student, parent/guardian, employee, or community member should notify any District Complaint Manager if he or she believes that the School Board, its employees, or </w:t>
      </w:r>
      <w:r w:rsidR="005C2C6D" w:rsidRPr="00292F7C">
        <w:t xml:space="preserve">its </w:t>
      </w:r>
      <w:r w:rsidRPr="00292F7C">
        <w:t>agents have violated his or her rights guaranteed by the State or federal Constitution, State or federal statute, or Board policy, or have a complaint regarding</w:t>
      </w:r>
      <w:r w:rsidR="00294708" w:rsidRPr="00292F7C">
        <w:t xml:space="preserve"> any one of the following</w:t>
      </w:r>
      <w:r w:rsidRPr="00292F7C">
        <w:t>:</w:t>
      </w:r>
      <w:r w:rsidR="00AF1419" w:rsidRPr="00882323">
        <w:t xml:space="preserve"> </w:t>
      </w:r>
    </w:p>
    <w:p w14:paraId="4AF62C31" w14:textId="0609CF3A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Title II of the Americans with Disabilities Act</w:t>
      </w:r>
      <w:r w:rsidR="006B1B30">
        <w:t>,</w:t>
      </w:r>
      <w:r w:rsidR="006B1B30" w:rsidRPr="006B1B30">
        <w:t xml:space="preserve"> </w:t>
      </w:r>
      <w:r w:rsidR="006B1B30" w:rsidRPr="00882323">
        <w:t xml:space="preserve">42 U.S.C. §12101 </w:t>
      </w:r>
      <w:r w:rsidR="006B1B30" w:rsidRPr="00882323">
        <w:rPr>
          <w:u w:val="single"/>
        </w:rPr>
        <w:t>et</w:t>
      </w:r>
      <w:r w:rsidR="006B1B30" w:rsidRPr="00882323">
        <w:t xml:space="preserve"> </w:t>
      </w:r>
      <w:r w:rsidR="006B1B30" w:rsidRPr="00882323">
        <w:rPr>
          <w:u w:val="single"/>
        </w:rPr>
        <w:t>seq</w:t>
      </w:r>
      <w:r w:rsidR="006B1B30" w:rsidRPr="00882323">
        <w:t>.</w:t>
      </w:r>
      <w:r w:rsidR="007C0A81" w:rsidRPr="00882323">
        <w:t xml:space="preserve"> </w:t>
      </w:r>
    </w:p>
    <w:p w14:paraId="610A3043" w14:textId="5D39CE8A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53936E55">
        <w:t>Title IX of the Education Amendments of 1972</w:t>
      </w:r>
      <w:r w:rsidR="006B1B30">
        <w:t xml:space="preserve">, </w:t>
      </w:r>
      <w:r w:rsidR="006B1B30" w:rsidRPr="00882323">
        <w:t xml:space="preserve">20 U.S.C. §1681 </w:t>
      </w:r>
      <w:r w:rsidR="006B1B30" w:rsidRPr="00882323">
        <w:rPr>
          <w:u w:val="single"/>
        </w:rPr>
        <w:t>et</w:t>
      </w:r>
      <w:r w:rsidR="006B1B30" w:rsidRPr="00882323">
        <w:t xml:space="preserve"> </w:t>
      </w:r>
      <w:r w:rsidR="006B1B30" w:rsidRPr="00882323">
        <w:rPr>
          <w:u w:val="single"/>
        </w:rPr>
        <w:t>seq</w:t>
      </w:r>
      <w:r w:rsidR="006B1B30" w:rsidRPr="00882323">
        <w:t>.</w:t>
      </w:r>
      <w:r w:rsidR="00CF7FF3" w:rsidRPr="53936E55">
        <w:t>, excluding</w:t>
      </w:r>
      <w:r w:rsidR="00652FD6" w:rsidRPr="53936E55">
        <w:t xml:space="preserve"> </w:t>
      </w:r>
      <w:r w:rsidR="00E434B7" w:rsidRPr="53936E55">
        <w:t xml:space="preserve">Title IX </w:t>
      </w:r>
      <w:r w:rsidR="00CF7FF3" w:rsidRPr="53936E55">
        <w:t>sexual harassment complaints</w:t>
      </w:r>
      <w:r w:rsidR="00E434B7" w:rsidRPr="00010BCB">
        <w:t xml:space="preserve"> </w:t>
      </w:r>
      <w:r w:rsidR="00AF5C0F">
        <w:t xml:space="preserve">governed by </w:t>
      </w:r>
      <w:r w:rsidR="00E434B7" w:rsidRPr="53936E55">
        <w:t xml:space="preserve">policy 2:265, </w:t>
      </w:r>
      <w:r w:rsidR="00E434B7" w:rsidRPr="53936E55">
        <w:rPr>
          <w:i/>
          <w:iCs/>
        </w:rPr>
        <w:t>Title IX Sexual Harassment Grievance Procedure</w:t>
      </w:r>
    </w:p>
    <w:p w14:paraId="5EEA59B9" w14:textId="415F857D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Section 504 of the Rehabil</w:t>
      </w:r>
      <w:r w:rsidR="00294708" w:rsidRPr="00882323">
        <w:t>itation Act of 1973</w:t>
      </w:r>
      <w:r w:rsidR="006B1B30">
        <w:t xml:space="preserve">, </w:t>
      </w:r>
      <w:r w:rsidR="006B1B30" w:rsidRPr="00882323">
        <w:t xml:space="preserve">29 U.S.C. §791 </w:t>
      </w:r>
      <w:r w:rsidR="006B1B30" w:rsidRPr="00882323">
        <w:rPr>
          <w:u w:val="single"/>
        </w:rPr>
        <w:t>et</w:t>
      </w:r>
      <w:r w:rsidR="006B1B30" w:rsidRPr="00882323">
        <w:t xml:space="preserve"> </w:t>
      </w:r>
      <w:r w:rsidR="006B1B30" w:rsidRPr="00882323">
        <w:rPr>
          <w:u w:val="single"/>
        </w:rPr>
        <w:t>seq</w:t>
      </w:r>
      <w:r w:rsidR="006B1B30" w:rsidRPr="00882323">
        <w:t>.</w:t>
      </w:r>
      <w:r w:rsidR="007C0A81" w:rsidRPr="00882323">
        <w:t xml:space="preserve"> </w:t>
      </w:r>
    </w:p>
    <w:p w14:paraId="5F80F0D0" w14:textId="77777777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 xml:space="preserve">Title VI of the Civil Rights Act, 42 U.S.C. §2000d </w:t>
      </w:r>
      <w:r w:rsidRPr="00882323">
        <w:rPr>
          <w:u w:val="single"/>
        </w:rPr>
        <w:t>et</w:t>
      </w:r>
      <w:r w:rsidRPr="00882323">
        <w:t xml:space="preserve"> </w:t>
      </w:r>
      <w:r w:rsidRPr="00882323">
        <w:rPr>
          <w:u w:val="single"/>
        </w:rPr>
        <w:t>seq</w:t>
      </w:r>
      <w:r w:rsidR="00294708" w:rsidRPr="00882323">
        <w:t>.</w:t>
      </w:r>
    </w:p>
    <w:p w14:paraId="70A336E6" w14:textId="1683C945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 xml:space="preserve">Equal Employment Opportunities Act (Title VII of the Civil Rights Act), 42 U.S.C. §2000e </w:t>
      </w:r>
      <w:r w:rsidRPr="00882323">
        <w:rPr>
          <w:u w:val="single"/>
        </w:rPr>
        <w:t>et</w:t>
      </w:r>
      <w:r w:rsidR="00C25AED">
        <w:t xml:space="preserve"> </w:t>
      </w:r>
      <w:r w:rsidRPr="00882323">
        <w:rPr>
          <w:u w:val="single"/>
        </w:rPr>
        <w:t>seq</w:t>
      </w:r>
      <w:r w:rsidR="00294708" w:rsidRPr="00882323">
        <w:t>.</w:t>
      </w:r>
    </w:p>
    <w:p w14:paraId="7E3191C7" w14:textId="39EF3626" w:rsidR="00666AC7" w:rsidRPr="00882323" w:rsidRDefault="00666AC7" w:rsidP="00666AC7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96A734B">
        <w:t xml:space="preserve">Sexual harassment </w:t>
      </w:r>
      <w:r w:rsidRPr="5A16099E">
        <w:t xml:space="preserve">prohibited by the </w:t>
      </w:r>
      <w:r w:rsidRPr="096A734B">
        <w:t xml:space="preserve">State Officials and Employees Ethics Act, </w:t>
      </w:r>
      <w:r w:rsidR="006B1B30" w:rsidRPr="00882323">
        <w:t>5 ILCS 430/70-5(a)</w:t>
      </w:r>
      <w:r w:rsidR="006B1B30">
        <w:t xml:space="preserve">; </w:t>
      </w:r>
      <w:r w:rsidRPr="096A734B">
        <w:t xml:space="preserve">Illinois Human Rights Act, </w:t>
      </w:r>
      <w:r w:rsidR="006B1B30" w:rsidRPr="00882323">
        <w:t>775 ILCS 5/</w:t>
      </w:r>
      <w:r w:rsidR="006B1B30">
        <w:t xml:space="preserve">; </w:t>
      </w:r>
      <w:r w:rsidRPr="5A16099E">
        <w:t xml:space="preserve">and </w:t>
      </w:r>
      <w:r w:rsidRPr="096A734B">
        <w:t>Title VII of the Civil Rights Act of 1964</w:t>
      </w:r>
      <w:r w:rsidRPr="5A16099E">
        <w:t xml:space="preserve">, </w:t>
      </w:r>
      <w:r w:rsidR="006B1B30" w:rsidRPr="00882323">
        <w:t xml:space="preserve">42 U.S.C. §2000e </w:t>
      </w:r>
      <w:r w:rsidR="006B1B30" w:rsidRPr="00882323">
        <w:rPr>
          <w:u w:val="single"/>
        </w:rPr>
        <w:t>et</w:t>
      </w:r>
      <w:r w:rsidR="006B1B30" w:rsidRPr="00882323">
        <w:t> </w:t>
      </w:r>
      <w:r w:rsidR="006B1B30" w:rsidRPr="00882323">
        <w:rPr>
          <w:u w:val="single"/>
        </w:rPr>
        <w:t>seq</w:t>
      </w:r>
      <w:r w:rsidR="006B1B30" w:rsidRPr="00882323">
        <w:t>.</w:t>
      </w:r>
      <w:r w:rsidRPr="096A734B">
        <w:t xml:space="preserve"> </w:t>
      </w:r>
      <w:r>
        <w:t>(</w:t>
      </w:r>
      <w:r w:rsidRPr="53936E55">
        <w:t>Title IX sexual harassment complaints</w:t>
      </w:r>
      <w:r>
        <w:t xml:space="preserve"> </w:t>
      </w:r>
      <w:r w:rsidRPr="53936E55">
        <w:t xml:space="preserve">are addressed under policy 2:265, </w:t>
      </w:r>
      <w:r w:rsidRPr="53936E55">
        <w:rPr>
          <w:i/>
          <w:iCs/>
        </w:rPr>
        <w:t>Title IX Sexual Harassment Grievance Procedure</w:t>
      </w:r>
      <w:r>
        <w:t xml:space="preserve">) </w:t>
      </w:r>
    </w:p>
    <w:p w14:paraId="3CBFCBB5" w14:textId="28FD1078" w:rsidR="00892ED0" w:rsidRPr="00882323" w:rsidRDefault="00892ED0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 xml:space="preserve">Breastfeeding accommodations for </w:t>
      </w:r>
      <w:r w:rsidR="00A63E20" w:rsidRPr="00882323">
        <w:t>student</w:t>
      </w:r>
      <w:r w:rsidRPr="00882323">
        <w:t>s, 105 ILCS 5/10-20.60</w:t>
      </w:r>
      <w:r w:rsidR="002A79EC" w:rsidRPr="00882323">
        <w:t xml:space="preserve"> </w:t>
      </w:r>
    </w:p>
    <w:p w14:paraId="24F6C269" w14:textId="0F6D9C12" w:rsidR="008E4FB0" w:rsidRPr="00882323" w:rsidRDefault="008E4FB0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Bullying, 105 ILCS 5/27-23.7</w:t>
      </w:r>
      <w:r w:rsidR="005F0702" w:rsidRPr="00882323">
        <w:t xml:space="preserve"> </w:t>
      </w:r>
    </w:p>
    <w:p w14:paraId="298CFFF3" w14:textId="7B091529" w:rsidR="00586481" w:rsidRPr="00882323" w:rsidRDefault="008E70A9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M</w:t>
      </w:r>
      <w:r w:rsidR="00586481" w:rsidRPr="00882323">
        <w:t>isuse of funds received for services to improve educational opportunities for educationally disadvantaged or deprived chil</w:t>
      </w:r>
      <w:r w:rsidR="00294708" w:rsidRPr="00882323">
        <w:t>dren</w:t>
      </w:r>
      <w:r w:rsidR="00586481" w:rsidRPr="00882323">
        <w:t xml:space="preserve"> </w:t>
      </w:r>
    </w:p>
    <w:p w14:paraId="2143E3E6" w14:textId="77777777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 xml:space="preserve">Curriculum, instructional materials, </w:t>
      </w:r>
      <w:r w:rsidR="008E70A9" w:rsidRPr="00882323">
        <w:t xml:space="preserve">and/or </w:t>
      </w:r>
      <w:r w:rsidR="00294708" w:rsidRPr="00882323">
        <w:t>programs</w:t>
      </w:r>
    </w:p>
    <w:p w14:paraId="448AA122" w14:textId="77777777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Victims’ Economic Securi</w:t>
      </w:r>
      <w:r w:rsidR="00294708" w:rsidRPr="00882323">
        <w:t>ty and Safety Act, 820 ILCS 180</w:t>
      </w:r>
      <w:r w:rsidR="007B5ED5" w:rsidRPr="00882323">
        <w:t>/</w:t>
      </w:r>
    </w:p>
    <w:p w14:paraId="15546022" w14:textId="77777777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Illinois Equal</w:t>
      </w:r>
      <w:r w:rsidR="00294708" w:rsidRPr="00882323">
        <w:t xml:space="preserve"> Pay Act of 2003, 820 ILCS 112</w:t>
      </w:r>
      <w:r w:rsidR="007B5ED5" w:rsidRPr="00882323">
        <w:t>/</w:t>
      </w:r>
    </w:p>
    <w:p w14:paraId="60F8B677" w14:textId="77777777" w:rsidR="00586481" w:rsidRPr="00882323" w:rsidRDefault="0058648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Provision o</w:t>
      </w:r>
      <w:r w:rsidR="00D62CB5" w:rsidRPr="00882323">
        <w:t>f</w:t>
      </w:r>
      <w:r w:rsidR="00294708" w:rsidRPr="00882323">
        <w:t xml:space="preserve"> services to homeless students</w:t>
      </w:r>
    </w:p>
    <w:p w14:paraId="407CE353" w14:textId="267DAFB2" w:rsidR="00D62CB5" w:rsidRPr="00882323" w:rsidRDefault="00D62CB5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Illinois Whistleblower Act, 740 ILCS 174/</w:t>
      </w:r>
      <w:r w:rsidR="006074D3" w:rsidRPr="0014375C">
        <w:rPr>
          <w:rStyle w:val="FootnoteReference"/>
          <w:bCs/>
        </w:rPr>
        <w:t xml:space="preserve"> </w:t>
      </w:r>
    </w:p>
    <w:p w14:paraId="1229B6CE" w14:textId="3ECA056C" w:rsidR="0013125A" w:rsidRPr="00882323" w:rsidRDefault="00170F11" w:rsidP="00882323">
      <w:pPr>
        <w:pStyle w:val="ListNumber2"/>
        <w:numPr>
          <w:ilvl w:val="0"/>
          <w:numId w:val="44"/>
        </w:numPr>
        <w:spacing w:before="60" w:after="60"/>
        <w:ind w:left="734" w:hanging="187"/>
      </w:pPr>
      <w:r w:rsidRPr="00882323">
        <w:t>Misu</w:t>
      </w:r>
      <w:r w:rsidR="00CF6809" w:rsidRPr="00882323">
        <w:t xml:space="preserve">se of </w:t>
      </w:r>
      <w:r w:rsidR="00407D93" w:rsidRPr="00882323">
        <w:t>g</w:t>
      </w:r>
      <w:r w:rsidR="00CF6809" w:rsidRPr="00882323">
        <w:t xml:space="preserve">enetic </w:t>
      </w:r>
      <w:r w:rsidR="00407D93" w:rsidRPr="00882323">
        <w:t>i</w:t>
      </w:r>
      <w:r w:rsidR="00CF6809" w:rsidRPr="00882323">
        <w:t xml:space="preserve">nformation </w:t>
      </w:r>
      <w:r w:rsidR="006B1B30">
        <w:t xml:space="preserve">prohibited by the </w:t>
      </w:r>
      <w:r w:rsidR="00CF6809" w:rsidRPr="00882323">
        <w:t>Illinois Genetic Information Privacy Act, 410 ILCS 513/</w:t>
      </w:r>
      <w:r w:rsidR="006B1B30">
        <w:t>;</w:t>
      </w:r>
      <w:r w:rsidR="00CF6809" w:rsidRPr="00882323">
        <w:t xml:space="preserve"> and </w:t>
      </w:r>
      <w:r w:rsidR="009646F7" w:rsidRPr="00882323">
        <w:t>Title</w:t>
      </w:r>
      <w:r w:rsidR="00EB3142" w:rsidRPr="00882323">
        <w:t>s</w:t>
      </w:r>
      <w:r w:rsidR="009646F7" w:rsidRPr="00882323">
        <w:t xml:space="preserve"> </w:t>
      </w:r>
      <w:r w:rsidR="00EB3142" w:rsidRPr="00882323">
        <w:t xml:space="preserve">I and </w:t>
      </w:r>
      <w:r w:rsidR="009646F7" w:rsidRPr="00882323">
        <w:t xml:space="preserve">II of the </w:t>
      </w:r>
      <w:r w:rsidR="0013125A" w:rsidRPr="00882323">
        <w:t>Genetic Information Nondiscrimination Act</w:t>
      </w:r>
      <w:r w:rsidR="009646F7" w:rsidRPr="00882323">
        <w:t xml:space="preserve">, 42 U.S.C. §2000ff </w:t>
      </w:r>
      <w:r w:rsidR="009646F7" w:rsidRPr="00882323">
        <w:rPr>
          <w:u w:val="single"/>
        </w:rPr>
        <w:t>et</w:t>
      </w:r>
      <w:r w:rsidR="009646F7" w:rsidRPr="00882323">
        <w:t xml:space="preserve"> </w:t>
      </w:r>
      <w:r w:rsidR="009646F7" w:rsidRPr="00882323">
        <w:rPr>
          <w:u w:val="single"/>
        </w:rPr>
        <w:t>seq</w:t>
      </w:r>
      <w:r w:rsidR="009646F7" w:rsidRPr="00882323">
        <w:t>.</w:t>
      </w:r>
      <w:r w:rsidR="001D543A" w:rsidRPr="00882323">
        <w:t xml:space="preserve"> </w:t>
      </w:r>
    </w:p>
    <w:p w14:paraId="6556B388" w14:textId="673EDE31" w:rsidR="00CF7FF3" w:rsidRPr="00882323" w:rsidRDefault="0063001A" w:rsidP="00882323">
      <w:pPr>
        <w:pStyle w:val="ListNumber2"/>
        <w:numPr>
          <w:ilvl w:val="0"/>
          <w:numId w:val="44"/>
        </w:numPr>
        <w:ind w:hanging="180"/>
      </w:pPr>
      <w:r w:rsidRPr="00882323">
        <w:t xml:space="preserve">Employee Credit Privacy Act, </w:t>
      </w:r>
      <w:r w:rsidR="007D6B34" w:rsidRPr="00882323">
        <w:t>820 ILCS 70/</w:t>
      </w:r>
      <w:r w:rsidR="007D6B34" w:rsidRPr="0014375C">
        <w:rPr>
          <w:rStyle w:val="FootnoteReference"/>
          <w:bCs/>
        </w:rPr>
        <w:t xml:space="preserve"> </w:t>
      </w:r>
    </w:p>
    <w:p w14:paraId="0893D4FD" w14:textId="77777777" w:rsidR="00083D64" w:rsidRPr="00882323" w:rsidRDefault="00586481" w:rsidP="00882323">
      <w:pPr>
        <w:pStyle w:val="BodyText"/>
        <w:spacing w:beforeLines="60" w:before="144" w:afterLines="60" w:after="144"/>
      </w:pPr>
      <w:r w:rsidRPr="00882323">
        <w:t xml:space="preserve">The Complaint Manager will </w:t>
      </w:r>
      <w:r w:rsidR="00083D64" w:rsidRPr="00882323">
        <w:t xml:space="preserve">first </w:t>
      </w:r>
      <w:r w:rsidRPr="00882323">
        <w:t>attempt to resolve complaints without resorting to this grievance procedure</w:t>
      </w:r>
      <w:r w:rsidR="00083D64" w:rsidRPr="00882323">
        <w:t xml:space="preserve">. If a formal complaint is filed under this </w:t>
      </w:r>
      <w:r w:rsidR="005A1112" w:rsidRPr="00882323">
        <w:t>policy</w:t>
      </w:r>
      <w:r w:rsidR="00083D64" w:rsidRPr="00882323">
        <w:t xml:space="preserve">, the Complaint Manager will </w:t>
      </w:r>
      <w:r w:rsidRPr="00882323">
        <w:t>address the complaint promptly and equitably.</w:t>
      </w:r>
      <w:r w:rsidR="008D17EE" w:rsidRPr="00882323">
        <w:t xml:space="preserve"> </w:t>
      </w:r>
      <w:r w:rsidR="00083D64" w:rsidRPr="00882323">
        <w:t>A student and/or parent</w:t>
      </w:r>
      <w:r w:rsidR="00875A69" w:rsidRPr="00882323">
        <w:t>/guardian</w:t>
      </w:r>
      <w:r w:rsidR="00083D64" w:rsidRPr="00882323">
        <w:t xml:space="preserve"> filing a complaint under this </w:t>
      </w:r>
      <w:r w:rsidR="005A1112" w:rsidRPr="00882323">
        <w:t xml:space="preserve">policy </w:t>
      </w:r>
      <w:r w:rsidR="00083D64" w:rsidRPr="00882323">
        <w:t xml:space="preserve">may forego </w:t>
      </w:r>
      <w:r w:rsidR="00AC6C18" w:rsidRPr="00882323">
        <w:t xml:space="preserve">any informal suggestions and/or </w:t>
      </w:r>
      <w:r w:rsidR="00083D64" w:rsidRPr="00882323">
        <w:t xml:space="preserve">attempts to resolve it and may proceed </w:t>
      </w:r>
      <w:r w:rsidR="00D201B5" w:rsidRPr="00882323">
        <w:t xml:space="preserve">directly </w:t>
      </w:r>
      <w:r w:rsidR="00083D64" w:rsidRPr="00882323">
        <w:t xml:space="preserve">to </w:t>
      </w:r>
      <w:r w:rsidR="00477A11" w:rsidRPr="00882323">
        <w:t>this</w:t>
      </w:r>
      <w:r w:rsidR="00083D64" w:rsidRPr="00882323">
        <w:t xml:space="preserve"> grievance procedure. The Complaint Manager will not require a </w:t>
      </w:r>
      <w:r w:rsidR="00D201B5" w:rsidRPr="00882323">
        <w:t>student or parent/guardian complaining of any form of</w:t>
      </w:r>
      <w:r w:rsidR="00083D64" w:rsidRPr="00882323">
        <w:t xml:space="preserve"> harassment to attempt to resolve allegations directly with the accused (or the accused</w:t>
      </w:r>
      <w:r w:rsidR="007B4280" w:rsidRPr="00882323">
        <w:t>’s</w:t>
      </w:r>
      <w:r w:rsidR="00083D64" w:rsidRPr="00882323">
        <w:t xml:space="preserve"> parents/guardians); this includes mediation.</w:t>
      </w:r>
    </w:p>
    <w:p w14:paraId="2A5EA5E2" w14:textId="77777777" w:rsidR="00083D64" w:rsidRPr="00882323" w:rsidRDefault="00083D64" w:rsidP="00882323">
      <w:pPr>
        <w:pStyle w:val="SUBHEADING"/>
        <w:spacing w:beforeLines="60" w:before="144"/>
      </w:pPr>
      <w:r w:rsidRPr="00882323">
        <w:lastRenderedPageBreak/>
        <w:t>Right to Pursue Other Remedies Not Impaired</w:t>
      </w:r>
    </w:p>
    <w:p w14:paraId="0C0E9CE1" w14:textId="71DEF575" w:rsidR="00586481" w:rsidRPr="00882323" w:rsidRDefault="00586481" w:rsidP="00882323">
      <w:pPr>
        <w:pStyle w:val="BodyText"/>
        <w:spacing w:beforeLines="60" w:before="144"/>
      </w:pPr>
      <w:r w:rsidRPr="00882323">
        <w:t xml:space="preserve">The right of a person to prompt and equitable resolution of a complaint filed under </w:t>
      </w:r>
      <w:r w:rsidR="0046311F" w:rsidRPr="00882323">
        <w:t xml:space="preserve">this policy </w:t>
      </w:r>
      <w:r w:rsidRPr="00882323">
        <w:t>shall not be impaired by the person’s pursuit of other remedies</w:t>
      </w:r>
      <w:r w:rsidR="00083D64" w:rsidRPr="00882323">
        <w:t xml:space="preserve">, e.g., criminal complaints, </w:t>
      </w:r>
      <w:r w:rsidR="008D2F4D" w:rsidRPr="00882323">
        <w:t xml:space="preserve">civil actions, </w:t>
      </w:r>
      <w:r w:rsidR="00083D64" w:rsidRPr="00882323">
        <w:t>etc</w:t>
      </w:r>
      <w:r w:rsidRPr="00882323">
        <w:t>.</w:t>
      </w:r>
      <w:r w:rsidR="008D17EE" w:rsidRPr="00882323">
        <w:t xml:space="preserve"> </w:t>
      </w:r>
      <w:r w:rsidRPr="00882323">
        <w:t xml:space="preserve">Use of this grievance procedure is not a prerequisite to the pursuit of other remedies and use of this grievance procedure does not extend any filing deadline related to </w:t>
      </w:r>
      <w:r w:rsidR="00A105F9" w:rsidRPr="00882323">
        <w:t>the pursuit of other remedies.</w:t>
      </w:r>
      <w:r w:rsidR="008D17EE" w:rsidRPr="00882323">
        <w:t xml:space="preserve"> </w:t>
      </w:r>
      <w:r w:rsidR="008D2F4D" w:rsidRPr="00882323">
        <w:t xml:space="preserve">If </w:t>
      </w:r>
      <w:r w:rsidR="00DA7FC0" w:rsidRPr="00882323">
        <w:t xml:space="preserve">a person is pursuing </w:t>
      </w:r>
      <w:r w:rsidR="008D2F4D" w:rsidRPr="00882323">
        <w:t xml:space="preserve">another remedy </w:t>
      </w:r>
      <w:r w:rsidR="00DA7FC0" w:rsidRPr="00882323">
        <w:t xml:space="preserve">subject </w:t>
      </w:r>
      <w:r w:rsidR="008D2F4D" w:rsidRPr="00882323">
        <w:t>t</w:t>
      </w:r>
      <w:r w:rsidR="00DA7FC0" w:rsidRPr="00882323">
        <w:t xml:space="preserve">o a complaint under this policy, </w:t>
      </w:r>
      <w:r w:rsidR="008D2F4D" w:rsidRPr="00882323">
        <w:t>the District will continue with a simultaneous investigation under this po</w:t>
      </w:r>
      <w:r w:rsidR="00DA7FC0" w:rsidRPr="00882323">
        <w:t>licy</w:t>
      </w:r>
      <w:r w:rsidR="008D2F4D" w:rsidRPr="00882323">
        <w:t>.</w:t>
      </w:r>
    </w:p>
    <w:p w14:paraId="27A52C0C" w14:textId="77777777" w:rsidR="00083D64" w:rsidRPr="00882323" w:rsidRDefault="00083D64" w:rsidP="00882323">
      <w:pPr>
        <w:pStyle w:val="SUBHEADING"/>
        <w:spacing w:beforeLines="60" w:before="144"/>
      </w:pPr>
      <w:r w:rsidRPr="00882323">
        <w:t>Deadlines</w:t>
      </w:r>
    </w:p>
    <w:p w14:paraId="069786B4" w14:textId="77777777" w:rsidR="00083D64" w:rsidRPr="00882323" w:rsidRDefault="00083D64" w:rsidP="00882323">
      <w:pPr>
        <w:pStyle w:val="BodyText"/>
        <w:spacing w:beforeLines="60" w:before="144"/>
      </w:pPr>
      <w:r w:rsidRPr="00882323">
        <w:t xml:space="preserve">All deadlines under this </w:t>
      </w:r>
      <w:r w:rsidR="005A1112" w:rsidRPr="00882323">
        <w:t xml:space="preserve">policy </w:t>
      </w:r>
      <w:r w:rsidRPr="00882323">
        <w:t xml:space="preserve">may be extended by the Complaint Manager as he or she deems appropriate. As used in this policy, </w:t>
      </w:r>
      <w:r w:rsidRPr="00882323">
        <w:rPr>
          <w:i/>
        </w:rPr>
        <w:t>school business days</w:t>
      </w:r>
      <w:r w:rsidRPr="00882323">
        <w:t xml:space="preserve"> means days on which the District’s main office is open.</w:t>
      </w:r>
    </w:p>
    <w:p w14:paraId="7E175FA9" w14:textId="1F1DCB85" w:rsidR="00586481" w:rsidRPr="00882323" w:rsidRDefault="00586481" w:rsidP="00882323">
      <w:pPr>
        <w:pStyle w:val="SUBHEADING"/>
        <w:spacing w:beforeLines="60" w:before="144"/>
      </w:pPr>
      <w:r w:rsidRPr="00882323">
        <w:t>Filing a Complaint</w:t>
      </w:r>
    </w:p>
    <w:p w14:paraId="61BDC00B" w14:textId="117B8CC8" w:rsidR="00586481" w:rsidRPr="00882323" w:rsidRDefault="00586481" w:rsidP="00882323">
      <w:pPr>
        <w:pStyle w:val="BodyText"/>
        <w:spacing w:beforeLines="60" w:before="144"/>
      </w:pPr>
      <w:r w:rsidRPr="00882323">
        <w:t>A person (hereinafter Complainant) who wishes to avail him or herself of this grievance procedure may do so by filing a complaint with any District Complaint Manager.</w:t>
      </w:r>
      <w:r w:rsidR="008D17EE" w:rsidRPr="00882323">
        <w:t xml:space="preserve"> </w:t>
      </w:r>
      <w:r w:rsidRPr="00882323">
        <w:t xml:space="preserve">The Complainant shall not be required to file a complaint with a particular Complaint Manager and may request a Complaint Manager of the same </w:t>
      </w:r>
      <w:r w:rsidR="00070A3E" w:rsidRPr="00882323">
        <w:t>gender</w:t>
      </w:r>
      <w:r w:rsidRPr="00882323">
        <w:t>.</w:t>
      </w:r>
      <w:r w:rsidR="008D17EE" w:rsidRPr="00882323">
        <w:t xml:space="preserve"> </w:t>
      </w:r>
      <w:r w:rsidRPr="00882323">
        <w:t>The Complaint Manager may request the Complainant to provide a written statement regarding the nature of the complaint or require a meeting with a student’s parent(s)/guardian(s).</w:t>
      </w:r>
      <w:r w:rsidR="008D17EE" w:rsidRPr="00882323">
        <w:t xml:space="preserve"> </w:t>
      </w:r>
      <w:r w:rsidRPr="00882323">
        <w:t>The Complaint Manager shall as</w:t>
      </w:r>
      <w:r w:rsidR="00BF07F9" w:rsidRPr="00882323">
        <w:t>sist the Complainant as needed.</w:t>
      </w:r>
    </w:p>
    <w:p w14:paraId="477D4455" w14:textId="4F01697D" w:rsidR="006E51A1" w:rsidRPr="00882323" w:rsidRDefault="006E51A1" w:rsidP="00882323">
      <w:pPr>
        <w:pStyle w:val="BodyText"/>
        <w:spacing w:beforeLines="60" w:before="144"/>
      </w:pPr>
      <w:r w:rsidRPr="00882323">
        <w:t xml:space="preserve">For </w:t>
      </w:r>
      <w:r w:rsidR="00C61E1E" w:rsidRPr="00882323">
        <w:t xml:space="preserve">any complaint alleging </w:t>
      </w:r>
      <w:r w:rsidRPr="00882323">
        <w:t>bullying and</w:t>
      </w:r>
      <w:r w:rsidR="00336C09" w:rsidRPr="00882323">
        <w:t>/or</w:t>
      </w:r>
      <w:r w:rsidRPr="00882323">
        <w:t xml:space="preserve"> cyberbullying</w:t>
      </w:r>
      <w:r w:rsidR="00C61E1E" w:rsidRPr="00882323">
        <w:t xml:space="preserve"> of students</w:t>
      </w:r>
      <w:r w:rsidRPr="00882323">
        <w:t>, the Complaint Manager shall</w:t>
      </w:r>
      <w:r w:rsidR="000E618A" w:rsidRPr="00882323">
        <w:t xml:space="preserve"> process and review the complaint </w:t>
      </w:r>
      <w:r w:rsidRPr="00882323">
        <w:t xml:space="preserve">according to Board policy 7:180, </w:t>
      </w:r>
      <w:r w:rsidRPr="00882323">
        <w:rPr>
          <w:i/>
        </w:rPr>
        <w:t>Prevention of and Response to Bullying, Intimidation, and Harassment</w:t>
      </w:r>
      <w:r w:rsidRPr="00882323">
        <w:t>, in addition to any response required by this policy.</w:t>
      </w:r>
      <w:r w:rsidR="00336C09" w:rsidRPr="00882323">
        <w:t xml:space="preserve"> For any complaint alleging sexual harassment or other violation of Board policy 5:20, </w:t>
      </w:r>
      <w:r w:rsidR="00336C09" w:rsidRPr="00882323">
        <w:rPr>
          <w:i/>
        </w:rPr>
        <w:t>Workplace Harassment Prohibited</w:t>
      </w:r>
      <w:r w:rsidR="00336C09" w:rsidRPr="00882323">
        <w:t xml:space="preserve">, the Complaint Manager shall process and review the complaint according to </w:t>
      </w:r>
      <w:r w:rsidR="00477A11" w:rsidRPr="00882323">
        <w:t>that</w:t>
      </w:r>
      <w:r w:rsidR="00336C09" w:rsidRPr="00882323">
        <w:t xml:space="preserve"> policy</w:t>
      </w:r>
      <w:r w:rsidR="00FE5A88" w:rsidRPr="00882323">
        <w:t>,</w:t>
      </w:r>
      <w:r w:rsidR="00336C09" w:rsidRPr="00882323">
        <w:t xml:space="preserve"> in addition to any response required by this policy.</w:t>
      </w:r>
    </w:p>
    <w:p w14:paraId="2BB33EA8" w14:textId="100E304D" w:rsidR="00586481" w:rsidRPr="00882323" w:rsidRDefault="00586481" w:rsidP="00882323">
      <w:pPr>
        <w:pStyle w:val="SUBHEADING"/>
        <w:spacing w:beforeLines="60" w:before="144"/>
      </w:pPr>
      <w:r w:rsidRPr="00882323">
        <w:t>Investigation</w:t>
      </w:r>
      <w:r w:rsidR="00B97755">
        <w:t xml:space="preserve"> Process</w:t>
      </w:r>
    </w:p>
    <w:p w14:paraId="16777B57" w14:textId="4BD4911F" w:rsidR="00586481" w:rsidRPr="00882323" w:rsidRDefault="00586481" w:rsidP="00882323">
      <w:pPr>
        <w:pStyle w:val="BodyText"/>
        <w:spacing w:beforeLines="60" w:before="144"/>
      </w:pPr>
      <w:r w:rsidRPr="00882323">
        <w:t xml:space="preserve">The Complaint Manager will investigate the complaint or appoint a qualified person to undertake the investigation on his or her behalf. </w:t>
      </w:r>
      <w:r w:rsidR="002B0751" w:rsidRPr="00882323">
        <w:t xml:space="preserve">The Complaint </w:t>
      </w:r>
      <w:r w:rsidR="005D5AE9" w:rsidRPr="00882323">
        <w:t>M</w:t>
      </w:r>
      <w:r w:rsidR="002B0751" w:rsidRPr="00882323">
        <w:t>anage</w:t>
      </w:r>
      <w:r w:rsidR="005D5AE9" w:rsidRPr="00882323">
        <w:t>r</w:t>
      </w:r>
      <w:r w:rsidR="002B0751" w:rsidRPr="00882323">
        <w:t xml:space="preserve"> shall ensure both parties have an equal opportunity to present evidence during an investigation. </w:t>
      </w:r>
      <w:r w:rsidRPr="00882323">
        <w:t>If the Complainant is a student</w:t>
      </w:r>
      <w:r w:rsidR="00E14C4C" w:rsidRPr="00882323">
        <w:t xml:space="preserve"> </w:t>
      </w:r>
      <w:r w:rsidR="00E237CE" w:rsidRPr="00882323">
        <w:t>under</w:t>
      </w:r>
      <w:r w:rsidR="00E14C4C" w:rsidRPr="00882323">
        <w:t xml:space="preserve"> 18 years of age</w:t>
      </w:r>
      <w:r w:rsidRPr="00882323">
        <w:t>, the Complaint Manager will notify his or her parents/guardians that they may attend any investigatory meetings in which their child is involved.</w:t>
      </w:r>
      <w:r w:rsidR="008D17EE" w:rsidRPr="00882323">
        <w:t xml:space="preserve"> </w:t>
      </w:r>
      <w:r w:rsidRPr="00882323">
        <w:t>The complaint and identity of the Complainant will not be disclosed except:</w:t>
      </w:r>
      <w:r w:rsidR="008D17EE" w:rsidRPr="00882323">
        <w:t xml:space="preserve"> </w:t>
      </w:r>
      <w:r w:rsidR="006D6C76" w:rsidRPr="00882323">
        <w:t>(1) as required by law</w:t>
      </w:r>
      <w:r w:rsidR="00615171">
        <w:t>,</w:t>
      </w:r>
      <w:r w:rsidR="00EF0E34" w:rsidRPr="00882323">
        <w:t xml:space="preserve"> </w:t>
      </w:r>
      <w:r w:rsidRPr="00882323">
        <w:t xml:space="preserve">this policy, </w:t>
      </w:r>
      <w:r w:rsidR="00615171">
        <w:t>or any collective bargaining agreement</w:t>
      </w:r>
      <w:r w:rsidR="0020149F">
        <w:t>,</w:t>
      </w:r>
      <w:r w:rsidR="00615171">
        <w:t xml:space="preserve"> </w:t>
      </w:r>
      <w:r w:rsidRPr="00882323">
        <w:t>(2) as necessary to fully investigate the complaint, or (3) as authorized by the Complainant.</w:t>
      </w:r>
    </w:p>
    <w:p w14:paraId="00C376F3" w14:textId="28676FF3" w:rsidR="002329EE" w:rsidRPr="00882323" w:rsidRDefault="002329EE" w:rsidP="00882323">
      <w:pPr>
        <w:pStyle w:val="BodyText"/>
        <w:spacing w:beforeLines="60" w:before="144"/>
      </w:pPr>
      <w:r w:rsidRPr="00882323">
        <w:t>The identity of any student witnesses will not be disclosed except:</w:t>
      </w:r>
      <w:r w:rsidR="008D17EE" w:rsidRPr="00882323">
        <w:t xml:space="preserve"> </w:t>
      </w:r>
      <w:r w:rsidRPr="00882323">
        <w:t>(1) as required by law</w:t>
      </w:r>
      <w:r w:rsidR="00615171">
        <w:t>, this policy,</w:t>
      </w:r>
      <w:r w:rsidRPr="00882323">
        <w:t xml:space="preserve"> or any collective bargaining agreement, (2) as necessary to fully investigate the complaint, or (3) as authorized by the parent/guardian of the student witness, or by the student if the student is 18 years o</w:t>
      </w:r>
      <w:r w:rsidR="0087436E" w:rsidRPr="00882323">
        <w:t>f</w:t>
      </w:r>
      <w:r w:rsidRPr="00882323">
        <w:t xml:space="preserve"> age or older.</w:t>
      </w:r>
    </w:p>
    <w:p w14:paraId="65B7008C" w14:textId="36E3F112" w:rsidR="00897ADA" w:rsidRPr="00882323" w:rsidRDefault="002B0751" w:rsidP="00882323">
      <w:pPr>
        <w:pStyle w:val="BodyText"/>
        <w:spacing w:beforeLines="60" w:before="144"/>
      </w:pPr>
      <w:r w:rsidRPr="00882323">
        <w:t xml:space="preserve">The Complaint Manager will inform, at regular intervals, the person(s) filing a complaint under this </w:t>
      </w:r>
      <w:r w:rsidR="005A1112" w:rsidRPr="00882323">
        <w:t xml:space="preserve">policy </w:t>
      </w:r>
      <w:r w:rsidRPr="00882323">
        <w:t>about the status of the investigation. W</w:t>
      </w:r>
      <w:r w:rsidR="00586481" w:rsidRPr="00882323">
        <w:t xml:space="preserve">ithin 30 </w:t>
      </w:r>
      <w:r w:rsidR="00FD75A9" w:rsidRPr="00882323">
        <w:t>school business days</w:t>
      </w:r>
      <w:r w:rsidR="00586481" w:rsidRPr="00882323">
        <w:t xml:space="preserve"> </w:t>
      </w:r>
      <w:r w:rsidR="00A4185C">
        <w:t>after</w:t>
      </w:r>
      <w:r w:rsidR="00586481" w:rsidRPr="00882323">
        <w:t xml:space="preserve"> the date the complaint was filed, the Complaint Manager shall file a written report of his or her findings with the Superintendent.</w:t>
      </w:r>
      <w:r w:rsidR="008D17EE" w:rsidRPr="00882323">
        <w:t xml:space="preserve"> </w:t>
      </w:r>
      <w:r w:rsidR="00586481" w:rsidRPr="00882323">
        <w:t>The Complaint Manager ma</w:t>
      </w:r>
      <w:r w:rsidR="00A105F9" w:rsidRPr="00882323">
        <w:t>y request an extension of time.</w:t>
      </w:r>
    </w:p>
    <w:p w14:paraId="389CE483" w14:textId="64A63C17" w:rsidR="00477A11" w:rsidRPr="00882323" w:rsidRDefault="00477A11" w:rsidP="00882323">
      <w:pPr>
        <w:pStyle w:val="BodyText"/>
        <w:spacing w:beforeLines="60" w:before="144"/>
      </w:pPr>
      <w:r w:rsidRPr="00882323">
        <w:t>The Superintendent will keep the Board informed of all complaints.</w:t>
      </w:r>
    </w:p>
    <w:p w14:paraId="75F738DF" w14:textId="78388A40" w:rsidR="00897ADA" w:rsidRPr="00882323" w:rsidRDefault="00586481" w:rsidP="00882323">
      <w:pPr>
        <w:pStyle w:val="BodyText"/>
        <w:spacing w:beforeLines="60" w:before="144"/>
      </w:pPr>
      <w:r w:rsidRPr="00882323">
        <w:lastRenderedPageBreak/>
        <w:t>If a complaint contains allegations involving the Superintendent</w:t>
      </w:r>
      <w:r w:rsidR="00606F03" w:rsidRPr="00882323">
        <w:t xml:space="preserve"> or Board m</w:t>
      </w:r>
      <w:r w:rsidR="00983037" w:rsidRPr="00882323">
        <w:t>ember(s)</w:t>
      </w:r>
      <w:r w:rsidRPr="00882323">
        <w:t xml:space="preserve">, the written report shall be filed </w:t>
      </w:r>
      <w:r w:rsidR="00B61162" w:rsidRPr="00882323">
        <w:t xml:space="preserve">directly </w:t>
      </w:r>
      <w:r w:rsidRPr="00882323">
        <w:t xml:space="preserve">with the </w:t>
      </w:r>
      <w:r w:rsidR="00A724C3" w:rsidRPr="00882323">
        <w:t>Board</w:t>
      </w:r>
      <w:r w:rsidRPr="00882323">
        <w:t xml:space="preserve">, which will </w:t>
      </w:r>
      <w:proofErr w:type="gramStart"/>
      <w:r w:rsidRPr="00882323">
        <w:t>make a decision</w:t>
      </w:r>
      <w:proofErr w:type="gramEnd"/>
      <w:r w:rsidRPr="00882323">
        <w:t xml:space="preserve"> in accordance with </w:t>
      </w:r>
      <w:r w:rsidR="00477A11" w:rsidRPr="00882323">
        <w:t>paragraph four of</w:t>
      </w:r>
      <w:r w:rsidR="000133E7" w:rsidRPr="00882323">
        <w:t xml:space="preserve"> the</w:t>
      </w:r>
      <w:r w:rsidR="009A458D" w:rsidRPr="00882323">
        <w:t xml:space="preserve"> following section</w:t>
      </w:r>
      <w:r w:rsidRPr="00882323">
        <w:t xml:space="preserve"> of this policy.</w:t>
      </w:r>
    </w:p>
    <w:p w14:paraId="284DC790" w14:textId="77777777" w:rsidR="00586481" w:rsidRPr="00882323" w:rsidRDefault="00586481" w:rsidP="00882323">
      <w:pPr>
        <w:pStyle w:val="SUBHEADING"/>
        <w:spacing w:beforeLines="60" w:before="144"/>
      </w:pPr>
      <w:r w:rsidRPr="00882323">
        <w:t>Decision and Appeal</w:t>
      </w:r>
    </w:p>
    <w:p w14:paraId="4AED9F3A" w14:textId="34942C73" w:rsidR="00586481" w:rsidRPr="00882323" w:rsidRDefault="00586481" w:rsidP="00882323">
      <w:pPr>
        <w:pStyle w:val="BodyText"/>
        <w:spacing w:beforeLines="60" w:before="144"/>
      </w:pPr>
      <w:r w:rsidRPr="00882323">
        <w:t xml:space="preserve">Within </w:t>
      </w:r>
      <w:r w:rsidR="001C7BDD" w:rsidRPr="00882323">
        <w:t xml:space="preserve">five </w:t>
      </w:r>
      <w:r w:rsidR="00FD75A9" w:rsidRPr="00882323">
        <w:t>school business days</w:t>
      </w:r>
      <w:r w:rsidRPr="00882323">
        <w:t xml:space="preserve"> after receiving the Complaint Manager’s report, the Superintendent shall mail his or her written decision to the Complainant </w:t>
      </w:r>
      <w:r w:rsidR="00CA3305" w:rsidRPr="00882323">
        <w:t xml:space="preserve">and the accused </w:t>
      </w:r>
      <w:r w:rsidRPr="00882323">
        <w:t xml:space="preserve">by </w:t>
      </w:r>
      <w:r w:rsidR="00F064AB">
        <w:t>registered mail, return receipt requested, and/or personal delivery</w:t>
      </w:r>
      <w:r w:rsidR="00651E84" w:rsidRPr="00882323">
        <w:t xml:space="preserve"> a</w:t>
      </w:r>
      <w:r w:rsidRPr="00882323">
        <w:t xml:space="preserve">s well as </w:t>
      </w:r>
      <w:r w:rsidR="00E14C4C" w:rsidRPr="00882323">
        <w:t xml:space="preserve">to </w:t>
      </w:r>
      <w:r w:rsidRPr="00882323">
        <w:t>the Complaint Manager.</w:t>
      </w:r>
      <w:r w:rsidR="00CA3305" w:rsidRPr="00882323">
        <w:t xml:space="preserve"> All decision</w:t>
      </w:r>
      <w:r w:rsidR="00EA6EE0" w:rsidRPr="00882323">
        <w:t>s</w:t>
      </w:r>
      <w:r w:rsidR="00CA3305" w:rsidRPr="00882323">
        <w:t xml:space="preserve"> shall be based upon the </w:t>
      </w:r>
      <w:r w:rsidR="00CA3305" w:rsidRPr="00882323">
        <w:rPr>
          <w:i/>
        </w:rPr>
        <w:t>preponderance</w:t>
      </w:r>
      <w:r w:rsidR="005D5AE9" w:rsidRPr="00882323">
        <w:rPr>
          <w:i/>
        </w:rPr>
        <w:t xml:space="preserve"> </w:t>
      </w:r>
      <w:r w:rsidR="00CA3305" w:rsidRPr="00882323">
        <w:rPr>
          <w:i/>
        </w:rPr>
        <w:t>of</w:t>
      </w:r>
      <w:r w:rsidR="005D5AE9" w:rsidRPr="00882323">
        <w:rPr>
          <w:i/>
        </w:rPr>
        <w:t xml:space="preserve"> </w:t>
      </w:r>
      <w:r w:rsidR="00CA3305" w:rsidRPr="00882323">
        <w:rPr>
          <w:i/>
        </w:rPr>
        <w:t>evidence</w:t>
      </w:r>
      <w:r w:rsidR="00CA3305" w:rsidRPr="00882323">
        <w:t xml:space="preserve"> standard.</w:t>
      </w:r>
      <w:r w:rsidR="005D5AE9" w:rsidRPr="00882323">
        <w:t xml:space="preserve"> </w:t>
      </w:r>
    </w:p>
    <w:p w14:paraId="19024B97" w14:textId="644CBEEC" w:rsidR="00C61E1E" w:rsidRPr="00882323" w:rsidRDefault="00586481" w:rsidP="00882323">
      <w:pPr>
        <w:pStyle w:val="BodyText"/>
        <w:spacing w:beforeLines="60" w:before="144"/>
      </w:pPr>
      <w:r w:rsidRPr="096A734B">
        <w:t xml:space="preserve">Within 10 </w:t>
      </w:r>
      <w:r w:rsidR="00FD75A9" w:rsidRPr="096A734B">
        <w:t>school business days</w:t>
      </w:r>
      <w:r w:rsidRPr="096A734B">
        <w:t xml:space="preserve"> after receiving the Superintendent’s decision, the Complainant </w:t>
      </w:r>
      <w:r w:rsidR="00CA3305" w:rsidRPr="096A734B">
        <w:t xml:space="preserve">or the accused </w:t>
      </w:r>
      <w:r w:rsidRPr="096A734B">
        <w:t xml:space="preserve">may appeal the decision to the </w:t>
      </w:r>
      <w:r w:rsidR="00A724C3" w:rsidRPr="096A734B">
        <w:t>Board</w:t>
      </w:r>
      <w:r w:rsidRPr="096A734B">
        <w:t xml:space="preserve"> by making a written request to the Complaint Manager.</w:t>
      </w:r>
      <w:r w:rsidR="008D17EE" w:rsidRPr="096A734B">
        <w:t xml:space="preserve"> </w:t>
      </w:r>
      <w:r w:rsidRPr="096A734B">
        <w:t xml:space="preserve">The Complaint Manager shall promptly forward all materials relative to the complaint and appeal to the </w:t>
      </w:r>
      <w:r w:rsidR="00A724C3" w:rsidRPr="096A734B">
        <w:t>Board</w:t>
      </w:r>
      <w:r w:rsidRPr="096A734B">
        <w:t>.</w:t>
      </w:r>
    </w:p>
    <w:p w14:paraId="081A9954" w14:textId="26C70CB6" w:rsidR="00586481" w:rsidRPr="00882323" w:rsidRDefault="00586481" w:rsidP="00882323">
      <w:pPr>
        <w:pStyle w:val="BodyText"/>
        <w:spacing w:beforeLines="60" w:before="144"/>
      </w:pPr>
      <w:r w:rsidRPr="00882323">
        <w:t xml:space="preserve">Within 30 </w:t>
      </w:r>
      <w:r w:rsidR="00FD75A9" w:rsidRPr="00882323">
        <w:t>school business days</w:t>
      </w:r>
      <w:r w:rsidR="001D5908">
        <w:t xml:space="preserve"> after an appeal of the Superintendent’s decision</w:t>
      </w:r>
      <w:r w:rsidRPr="00882323">
        <w:t xml:space="preserve">, the </w:t>
      </w:r>
      <w:r w:rsidR="00A724C3" w:rsidRPr="00882323">
        <w:t>Board</w:t>
      </w:r>
      <w:r w:rsidRPr="00882323">
        <w:t xml:space="preserve"> shall affirm, reverse, or amend the Superintendent’s decision or direct the Superintendent to gather additional information.</w:t>
      </w:r>
      <w:r w:rsidR="008D17EE" w:rsidRPr="00882323">
        <w:t xml:space="preserve"> </w:t>
      </w:r>
      <w:r w:rsidRPr="00882323">
        <w:t xml:space="preserve">Within </w:t>
      </w:r>
      <w:r w:rsidR="001C7BDD" w:rsidRPr="00882323">
        <w:t xml:space="preserve">five </w:t>
      </w:r>
      <w:r w:rsidR="00FD75A9" w:rsidRPr="00882323">
        <w:t>school business days</w:t>
      </w:r>
      <w:r w:rsidRPr="00882323">
        <w:t xml:space="preserve"> </w:t>
      </w:r>
      <w:r w:rsidR="00A4185C">
        <w:t>after</w:t>
      </w:r>
      <w:r w:rsidRPr="00882323">
        <w:t xml:space="preserve"> the Board’s decision, the Superintendent shall inform the Complainant </w:t>
      </w:r>
      <w:r w:rsidR="00CA3305" w:rsidRPr="00882323">
        <w:t xml:space="preserve">and the accused </w:t>
      </w:r>
      <w:r w:rsidRPr="00882323">
        <w:t>of the Board’s action.</w:t>
      </w:r>
    </w:p>
    <w:p w14:paraId="7F78EB33" w14:textId="337A0C99" w:rsidR="00477A11" w:rsidRPr="00882323" w:rsidRDefault="00477A11" w:rsidP="00882323">
      <w:pPr>
        <w:pStyle w:val="BodyText"/>
        <w:spacing w:beforeLines="60" w:before="144"/>
      </w:pPr>
      <w:r w:rsidRPr="00882323">
        <w:t>For complaints containing allegations involving the Superintendent</w:t>
      </w:r>
      <w:r w:rsidR="00606F03" w:rsidRPr="00882323">
        <w:t xml:space="preserve"> or Board m</w:t>
      </w:r>
      <w:r w:rsidR="00983037" w:rsidRPr="00882323">
        <w:t>ember(s)</w:t>
      </w:r>
      <w:r w:rsidR="009119FA" w:rsidRPr="00882323">
        <w:t>,</w:t>
      </w:r>
      <w:r w:rsidRPr="00882323">
        <w:t xml:space="preserve"> within 30 school business days after receiving the Complaint Manager’s </w:t>
      </w:r>
      <w:r w:rsidR="00795008" w:rsidRPr="00882323">
        <w:t xml:space="preserve">or outside investigator’s </w:t>
      </w:r>
      <w:r w:rsidRPr="00882323">
        <w:t xml:space="preserve">report, the Board shall mail its written decision to the Complainant and the accused by </w:t>
      </w:r>
      <w:r w:rsidR="001D5908">
        <w:t>registered mail, return receipt requested, and/or personal delivery</w:t>
      </w:r>
      <w:r w:rsidRPr="00882323">
        <w:t xml:space="preserve"> as well as to the Complaint Manager.</w:t>
      </w:r>
    </w:p>
    <w:p w14:paraId="5CE412DD" w14:textId="6C4214BC" w:rsidR="00586481" w:rsidRPr="00882323" w:rsidRDefault="00586481" w:rsidP="00882323">
      <w:pPr>
        <w:pStyle w:val="BodyText"/>
        <w:spacing w:beforeLines="60" w:before="144"/>
      </w:pPr>
      <w:r w:rsidRPr="00882323">
        <w:t xml:space="preserve">This </w:t>
      </w:r>
      <w:r w:rsidR="007E6982" w:rsidRPr="00882323">
        <w:t>policy</w:t>
      </w:r>
      <w:r w:rsidRPr="00882323">
        <w:t xml:space="preserve"> shall not be construed to create an independent right to </w:t>
      </w:r>
      <w:r w:rsidR="000B2D6E" w:rsidRPr="00882323">
        <w:t xml:space="preserve">a </w:t>
      </w:r>
      <w:r w:rsidRPr="00882323">
        <w:t>hearing</w:t>
      </w:r>
      <w:r w:rsidR="005335E2" w:rsidRPr="00882323">
        <w:t xml:space="preserve"> before the Superintendent or Board</w:t>
      </w:r>
      <w:r w:rsidRPr="00882323">
        <w:t>.</w:t>
      </w:r>
      <w:r w:rsidR="008D17EE" w:rsidRPr="00882323">
        <w:t xml:space="preserve"> </w:t>
      </w:r>
      <w:r w:rsidRPr="00882323">
        <w:t>The failure to strictly follow the timelines in this grievance procedure shall not prejudice any party.</w:t>
      </w:r>
      <w:r w:rsidR="0003321F" w:rsidRPr="00882323">
        <w:t xml:space="preserve"> </w:t>
      </w:r>
    </w:p>
    <w:p w14:paraId="34B4948F" w14:textId="3E225141" w:rsidR="00586481" w:rsidRPr="00882323" w:rsidRDefault="00586481" w:rsidP="00882323">
      <w:pPr>
        <w:pStyle w:val="SUBHEADING"/>
        <w:spacing w:beforeLines="60" w:before="144"/>
      </w:pPr>
      <w:r w:rsidRPr="00882323">
        <w:t xml:space="preserve">Appointing </w:t>
      </w:r>
      <w:r w:rsidR="007227E0" w:rsidRPr="00882323">
        <w:t xml:space="preserve">a </w:t>
      </w:r>
      <w:r w:rsidR="00202BB7" w:rsidRPr="00882323">
        <w:t xml:space="preserve">Nondiscrimination Coordinator and </w:t>
      </w:r>
      <w:r w:rsidRPr="00882323">
        <w:t>Complaint Managers</w:t>
      </w:r>
      <w:r w:rsidR="00202BB7" w:rsidRPr="00882323">
        <w:rPr>
          <w:u w:val="none"/>
        </w:rPr>
        <w:t xml:space="preserve"> </w:t>
      </w:r>
    </w:p>
    <w:p w14:paraId="0EB3F77C" w14:textId="45940640" w:rsidR="00202BB7" w:rsidRPr="00882323" w:rsidRDefault="00202BB7" w:rsidP="00882323">
      <w:pPr>
        <w:pStyle w:val="BodyText"/>
        <w:spacing w:beforeLines="60" w:before="144"/>
      </w:pPr>
      <w:r w:rsidRPr="00882323">
        <w:t xml:space="preserve">The Superintendent shall </w:t>
      </w:r>
      <w:r w:rsidR="002B5E88" w:rsidRPr="00882323">
        <w:t>appoint a Nondiscrim</w:t>
      </w:r>
      <w:r w:rsidRPr="00882323">
        <w:t xml:space="preserve">ination Coordinator </w:t>
      </w:r>
      <w:r w:rsidR="002B5E88" w:rsidRPr="00882323">
        <w:t>to manage the District’s efforts to provide equal opportunity employment and educational opportunities and prohibit the harassment of employee</w:t>
      </w:r>
      <w:r w:rsidR="00B411DA" w:rsidRPr="00882323">
        <w:t>s</w:t>
      </w:r>
      <w:r w:rsidR="002B5E88" w:rsidRPr="00882323">
        <w:t>, students, and others.</w:t>
      </w:r>
      <w:r w:rsidR="001D3826" w:rsidRPr="00882323">
        <w:t xml:space="preserve"> The Nondiscrimination Coordinator also serve</w:t>
      </w:r>
      <w:r w:rsidR="00802FFA" w:rsidRPr="00882323">
        <w:t>s</w:t>
      </w:r>
      <w:r w:rsidR="001D3826" w:rsidRPr="00882323">
        <w:t xml:space="preserve"> as the District’s Title IX Coordinator.</w:t>
      </w:r>
      <w:r w:rsidR="0003321F" w:rsidRPr="00882323">
        <w:t xml:space="preserve"> </w:t>
      </w:r>
    </w:p>
    <w:p w14:paraId="292A191B" w14:textId="6BE218C6" w:rsidR="00B411DA" w:rsidRPr="00882323" w:rsidRDefault="009F6E00" w:rsidP="00882323">
      <w:pPr>
        <w:pStyle w:val="BodyText"/>
        <w:spacing w:beforeLines="60" w:before="144"/>
      </w:pPr>
      <w:r w:rsidRPr="00882323">
        <w:t>T</w:t>
      </w:r>
      <w:r w:rsidR="00586481" w:rsidRPr="00882323">
        <w:t xml:space="preserve">he Superintendent shall appoint </w:t>
      </w:r>
      <w:r w:rsidRPr="00882323">
        <w:t>at least one</w:t>
      </w:r>
      <w:r w:rsidR="00586481" w:rsidRPr="00882323">
        <w:t xml:space="preserve"> Complaint Manager</w:t>
      </w:r>
      <w:r w:rsidRPr="00882323">
        <w:t xml:space="preserve"> </w:t>
      </w:r>
      <w:r w:rsidR="002B5E88" w:rsidRPr="00882323">
        <w:t>to administer this policy</w:t>
      </w:r>
      <w:r w:rsidR="00586481" w:rsidRPr="00882323">
        <w:t>.</w:t>
      </w:r>
      <w:r w:rsidR="008D17EE" w:rsidRPr="00882323">
        <w:t xml:space="preserve"> </w:t>
      </w:r>
      <w:r w:rsidRPr="00882323">
        <w:t xml:space="preserve">If possible, the Superintendent will appoint </w:t>
      </w:r>
      <w:r w:rsidR="001C7BDD" w:rsidRPr="00882323">
        <w:t xml:space="preserve">two </w:t>
      </w:r>
      <w:r w:rsidRPr="00882323">
        <w:t>Complaint Managers, one of each gender.</w:t>
      </w:r>
      <w:r w:rsidR="008D17EE" w:rsidRPr="00882323">
        <w:t xml:space="preserve"> </w:t>
      </w:r>
      <w:r w:rsidR="00586481" w:rsidRPr="00882323">
        <w:t>The District’s Nondiscrimination Coordinator</w:t>
      </w:r>
      <w:r w:rsidR="00202BB7" w:rsidRPr="00882323">
        <w:t xml:space="preserve"> </w:t>
      </w:r>
      <w:r w:rsidR="00586481" w:rsidRPr="00882323">
        <w:t>may be appointed a</w:t>
      </w:r>
      <w:r w:rsidR="00202BB7" w:rsidRPr="00882323">
        <w:t>s</w:t>
      </w:r>
      <w:r w:rsidR="00586481" w:rsidRPr="00882323">
        <w:t xml:space="preserve"> </w:t>
      </w:r>
      <w:r w:rsidR="00202BB7" w:rsidRPr="00882323">
        <w:t xml:space="preserve">one of the </w:t>
      </w:r>
      <w:r w:rsidR="00586481" w:rsidRPr="00882323">
        <w:t>Complaint Manager</w:t>
      </w:r>
      <w:r w:rsidR="00202BB7" w:rsidRPr="00882323">
        <w:t>s</w:t>
      </w:r>
      <w:r w:rsidR="00B411DA" w:rsidRPr="00882323">
        <w:t>.</w:t>
      </w:r>
    </w:p>
    <w:p w14:paraId="4F11D81B" w14:textId="5AC0A4B5" w:rsidR="00586481" w:rsidRPr="00882323" w:rsidRDefault="00586481" w:rsidP="00882323">
      <w:pPr>
        <w:pStyle w:val="BodyText"/>
        <w:spacing w:beforeLines="60" w:before="144"/>
      </w:pPr>
      <w:r w:rsidRPr="007251D9">
        <w:rPr>
          <w:spacing w:val="-2"/>
        </w:rPr>
        <w:t>The Superintendent shall insert into this policy</w:t>
      </w:r>
      <w:r w:rsidR="00202BB7" w:rsidRPr="007251D9">
        <w:rPr>
          <w:spacing w:val="-2"/>
        </w:rPr>
        <w:t xml:space="preserve"> and keep current</w:t>
      </w:r>
      <w:r w:rsidRPr="007251D9">
        <w:rPr>
          <w:spacing w:val="-2"/>
        </w:rPr>
        <w:t xml:space="preserve"> the names, </w:t>
      </w:r>
      <w:r w:rsidR="00C321F5" w:rsidRPr="007251D9">
        <w:rPr>
          <w:spacing w:val="-2"/>
        </w:rPr>
        <w:t xml:space="preserve">office </w:t>
      </w:r>
      <w:r w:rsidRPr="007251D9">
        <w:rPr>
          <w:spacing w:val="-2"/>
        </w:rPr>
        <w:t xml:space="preserve">addresses, </w:t>
      </w:r>
      <w:r w:rsidR="007440F1" w:rsidRPr="007251D9">
        <w:rPr>
          <w:spacing w:val="-2"/>
        </w:rPr>
        <w:t xml:space="preserve">email addresses, </w:t>
      </w:r>
      <w:r w:rsidRPr="007251D9">
        <w:rPr>
          <w:spacing w:val="-2"/>
        </w:rPr>
        <w:t xml:space="preserve">and telephone numbers of </w:t>
      </w:r>
      <w:r w:rsidR="00202BB7" w:rsidRPr="007251D9">
        <w:rPr>
          <w:spacing w:val="-2"/>
        </w:rPr>
        <w:t xml:space="preserve">the Nondiscrimination Coordinator and the </w:t>
      </w:r>
      <w:r w:rsidR="0082043B" w:rsidRPr="007251D9">
        <w:rPr>
          <w:spacing w:val="-2"/>
        </w:rPr>
        <w:t>Complaint Managers.</w:t>
      </w:r>
      <w:r w:rsidR="0003321F" w:rsidRPr="007251D9">
        <w:rPr>
          <w:spacing w:val="-2"/>
        </w:rPr>
        <w:t xml:space="preserve"> </w:t>
      </w:r>
    </w:p>
    <w:p w14:paraId="7A9C5F98" w14:textId="6A205C72" w:rsidR="00E43B55" w:rsidRPr="00882323" w:rsidRDefault="00E43B55" w:rsidP="005327DF">
      <w:pPr>
        <w:pStyle w:val="BodyText"/>
        <w:keepNext/>
        <w:keepLines/>
        <w:rPr>
          <w:b/>
        </w:rPr>
      </w:pPr>
      <w:r w:rsidRPr="00882323">
        <w:rPr>
          <w:b/>
        </w:rPr>
        <w:t>Nondiscrimination Coordinator: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20"/>
        <w:gridCol w:w="236"/>
      </w:tblGrid>
      <w:tr w:rsidR="00E43B55" w:rsidRPr="00882323" w14:paraId="31F6E51E" w14:textId="77777777" w:rsidTr="00C95392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C379D" w14:textId="00FE180A" w:rsidR="00E43B55" w:rsidRPr="00882323" w:rsidRDefault="00D8314E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120" w:after="0"/>
            </w:pPr>
            <w:r>
              <w:t>Building Principal of Child’s School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5BBE635E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120" w:after="0"/>
            </w:pPr>
          </w:p>
        </w:tc>
      </w:tr>
      <w:tr w:rsidR="00E43B55" w:rsidRPr="00882323" w14:paraId="3241A606" w14:textId="77777777" w:rsidTr="00C95392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C06CD0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Name</w:t>
            </w:r>
          </w:p>
          <w:p w14:paraId="5C1B5B40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2088917A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</w:tr>
      <w:tr w:rsidR="00E43B55" w:rsidRPr="00882323" w14:paraId="3D1A1098" w14:textId="77777777" w:rsidTr="00C95392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8B1092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Address</w:t>
            </w:r>
          </w:p>
          <w:p w14:paraId="41076317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53715015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</w:tr>
      <w:tr w:rsidR="00E43B55" w:rsidRPr="00882323" w14:paraId="7525FBFC" w14:textId="77777777" w:rsidTr="00C95392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B5E54" w14:textId="77777777" w:rsidR="00E43B55" w:rsidRPr="00882323" w:rsidRDefault="000E7383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  <w:r w:rsidRPr="00882323">
              <w:rPr>
                <w:sz w:val="20"/>
              </w:rPr>
              <w:t>Email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655E7E73" w14:textId="77777777" w:rsidR="00E43B55" w:rsidRPr="00882323" w:rsidRDefault="00E43B55" w:rsidP="005327DF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180" w:after="0"/>
            </w:pPr>
          </w:p>
        </w:tc>
      </w:tr>
      <w:tr w:rsidR="00E43B55" w:rsidRPr="00882323" w14:paraId="2F850D06" w14:textId="77777777" w:rsidTr="00C95392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0D633" w14:textId="306C3967" w:rsidR="00E43B55" w:rsidRPr="00882323" w:rsidRDefault="00E43B55" w:rsidP="00C95392">
            <w:pPr>
              <w:pStyle w:val="BodyText"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Telephone</w:t>
            </w:r>
            <w:r w:rsidR="00D8314E">
              <w:rPr>
                <w:sz w:val="20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4B6652D8" w14:textId="77777777" w:rsidR="00E43B55" w:rsidRPr="00882323" w:rsidRDefault="00E43B55" w:rsidP="00C95392">
            <w:pPr>
              <w:pStyle w:val="BodyText"/>
              <w:tabs>
                <w:tab w:val="left" w:pos="4320"/>
                <w:tab w:val="left" w:pos="4500"/>
              </w:tabs>
              <w:spacing w:before="0" w:after="0"/>
            </w:pPr>
          </w:p>
        </w:tc>
      </w:tr>
    </w:tbl>
    <w:p w14:paraId="1E516FE1" w14:textId="77777777" w:rsidR="00E43B55" w:rsidRPr="00882323" w:rsidRDefault="00E43B55" w:rsidP="00576787">
      <w:pPr>
        <w:pStyle w:val="BodyText"/>
        <w:keepNext/>
        <w:keepLines/>
        <w:tabs>
          <w:tab w:val="left" w:pos="4320"/>
          <w:tab w:val="left" w:pos="4500"/>
        </w:tabs>
        <w:rPr>
          <w:b/>
        </w:rPr>
      </w:pPr>
      <w:r w:rsidRPr="00882323">
        <w:rPr>
          <w:b/>
        </w:rPr>
        <w:lastRenderedPageBreak/>
        <w:t>Complaint Managers: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20"/>
        <w:gridCol w:w="236"/>
        <w:gridCol w:w="4444"/>
      </w:tblGrid>
      <w:tr w:rsidR="00E43B55" w:rsidRPr="00882323" w14:paraId="1B027BC4" w14:textId="77777777" w:rsidTr="00C95392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3DD644" w14:textId="5ABAD053" w:rsidR="00E43B55" w:rsidRPr="00882323" w:rsidRDefault="00D8314E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120" w:after="0"/>
            </w:pPr>
            <w:r>
              <w:t>Superintendent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2051CC24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120" w:after="0"/>
            </w:pPr>
          </w:p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1147F5" w14:textId="2432A2BA" w:rsidR="00E43B55" w:rsidRPr="00882323" w:rsidRDefault="00D8314E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120" w:after="0"/>
            </w:pPr>
            <w:r>
              <w:t>Board President</w:t>
            </w:r>
          </w:p>
        </w:tc>
      </w:tr>
      <w:tr w:rsidR="00E43B55" w:rsidRPr="00882323" w14:paraId="29D944CA" w14:textId="77777777" w:rsidTr="00C95392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52C81F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Name</w:t>
            </w:r>
          </w:p>
          <w:p w14:paraId="07D436C4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7345A716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27E570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Name</w:t>
            </w:r>
          </w:p>
          <w:p w14:paraId="5F99C9A2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</w:tr>
      <w:tr w:rsidR="00E43B55" w:rsidRPr="00882323" w14:paraId="58401DA2" w14:textId="77777777" w:rsidTr="00C95392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30B34E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Address</w:t>
            </w:r>
          </w:p>
          <w:p w14:paraId="5A5B7A78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02764436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236D57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Address</w:t>
            </w:r>
          </w:p>
          <w:p w14:paraId="00264C0C" w14:textId="77777777" w:rsidR="00E43B55" w:rsidRPr="00882323" w:rsidRDefault="00E43B55" w:rsidP="00576787">
            <w:pPr>
              <w:pStyle w:val="BodyText"/>
              <w:keepNext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</w:tr>
      <w:tr w:rsidR="00E43B55" w:rsidRPr="00882323" w14:paraId="4181BE46" w14:textId="77777777" w:rsidTr="00C95392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DAF50" w14:textId="77777777" w:rsidR="00E43B55" w:rsidRPr="00882323" w:rsidRDefault="000E7383" w:rsidP="009D4A8C">
            <w:pPr>
              <w:pStyle w:val="BodyText"/>
              <w:keepLines/>
              <w:tabs>
                <w:tab w:val="left" w:pos="4320"/>
                <w:tab w:val="left" w:pos="4500"/>
              </w:tabs>
              <w:spacing w:before="0" w:after="0"/>
            </w:pPr>
            <w:r w:rsidRPr="00882323">
              <w:rPr>
                <w:sz w:val="20"/>
              </w:rPr>
              <w:t>Email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3DFB61A9" w14:textId="77777777" w:rsidR="00E43B55" w:rsidRPr="00882323" w:rsidRDefault="00E43B55" w:rsidP="009D4A8C">
            <w:pPr>
              <w:pStyle w:val="BodyText"/>
              <w:keepLines/>
              <w:tabs>
                <w:tab w:val="left" w:pos="4320"/>
                <w:tab w:val="left" w:pos="4500"/>
              </w:tabs>
              <w:spacing w:before="180" w:after="0"/>
            </w:pPr>
          </w:p>
        </w:tc>
        <w:tc>
          <w:tcPr>
            <w:tcW w:w="4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DE62D0" w14:textId="77777777" w:rsidR="00E43B55" w:rsidRPr="00882323" w:rsidRDefault="000E7383" w:rsidP="009D4A8C">
            <w:pPr>
              <w:pStyle w:val="BodyText"/>
              <w:keepLines/>
              <w:tabs>
                <w:tab w:val="left" w:pos="4320"/>
                <w:tab w:val="left" w:pos="4500"/>
              </w:tabs>
              <w:spacing w:before="0" w:after="0"/>
            </w:pPr>
            <w:r w:rsidRPr="00882323">
              <w:rPr>
                <w:sz w:val="20"/>
              </w:rPr>
              <w:t>Email</w:t>
            </w:r>
          </w:p>
        </w:tc>
      </w:tr>
      <w:tr w:rsidR="00E43B55" w:rsidRPr="00882323" w14:paraId="38D0CF04" w14:textId="77777777" w:rsidTr="00C95392"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D4EE2" w14:textId="49A7F80E" w:rsidR="00E43B55" w:rsidRPr="00882323" w:rsidRDefault="00E43B55" w:rsidP="009D4A8C">
            <w:pPr>
              <w:pStyle w:val="BodyText"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Telephone</w:t>
            </w:r>
            <w:r w:rsidR="00D8314E">
              <w:rPr>
                <w:sz w:val="20"/>
              </w:rPr>
              <w:t xml:space="preserve"> (618)224-7583</w:t>
            </w: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61780A91" w14:textId="77777777" w:rsidR="00E43B55" w:rsidRPr="00882323" w:rsidRDefault="00E43B55" w:rsidP="009D4A8C">
            <w:pPr>
              <w:pStyle w:val="BodyText"/>
              <w:keepLines/>
              <w:tabs>
                <w:tab w:val="left" w:pos="4320"/>
                <w:tab w:val="left" w:pos="4500"/>
              </w:tabs>
              <w:spacing w:before="0" w:after="0"/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3A4E0B" w14:textId="372895A6" w:rsidR="00E43B55" w:rsidRPr="00882323" w:rsidRDefault="00E43B55" w:rsidP="009D4A8C">
            <w:pPr>
              <w:pStyle w:val="BodyText"/>
              <w:keepLines/>
              <w:tabs>
                <w:tab w:val="left" w:pos="4320"/>
                <w:tab w:val="left" w:pos="4500"/>
              </w:tabs>
              <w:spacing w:before="0" w:after="0"/>
              <w:rPr>
                <w:sz w:val="20"/>
              </w:rPr>
            </w:pPr>
            <w:r w:rsidRPr="00882323">
              <w:rPr>
                <w:sz w:val="20"/>
              </w:rPr>
              <w:t>Telephone</w:t>
            </w:r>
            <w:r w:rsidR="00D8314E">
              <w:rPr>
                <w:sz w:val="20"/>
              </w:rPr>
              <w:t xml:space="preserve"> (618)224-7583</w:t>
            </w:r>
          </w:p>
        </w:tc>
      </w:tr>
    </w:tbl>
    <w:p w14:paraId="68FD4BC7" w14:textId="6A936B85" w:rsidR="00D1540C" w:rsidRPr="004773CE" w:rsidRDefault="00586481" w:rsidP="004773CE">
      <w:pPr>
        <w:pStyle w:val="LEGALREF"/>
      </w:pPr>
      <w:r w:rsidRPr="004773CE">
        <w:lastRenderedPageBreak/>
        <w:t>LEGAL REF.:</w:t>
      </w:r>
      <w:r w:rsidRPr="004773CE">
        <w:tab/>
      </w:r>
      <w:r w:rsidR="00D1540C" w:rsidRPr="004773CE">
        <w:t xml:space="preserve">8 U.S.C. §1324a </w:t>
      </w:r>
      <w:r w:rsidR="00D1540C" w:rsidRPr="004773CE">
        <w:rPr>
          <w:u w:val="single"/>
        </w:rPr>
        <w:t>et</w:t>
      </w:r>
      <w:r w:rsidR="00D1540C" w:rsidRPr="004773CE">
        <w:t xml:space="preserve"> </w:t>
      </w:r>
      <w:r w:rsidR="00D1540C" w:rsidRPr="004773CE">
        <w:rPr>
          <w:u w:val="single"/>
        </w:rPr>
        <w:t>seq</w:t>
      </w:r>
      <w:r w:rsidR="00D1540C" w:rsidRPr="004773CE">
        <w:t>., Immigration Reform and Control Act</w:t>
      </w:r>
      <w:r w:rsidR="00D77B82">
        <w:t>.</w:t>
      </w:r>
    </w:p>
    <w:p w14:paraId="3BC7BF0D" w14:textId="3490C308" w:rsidR="00D13DB5" w:rsidRPr="00BA6837" w:rsidRDefault="00D13DB5" w:rsidP="00BA6837">
      <w:pPr>
        <w:pStyle w:val="LEGALREFINDENT"/>
      </w:pPr>
      <w:r w:rsidRPr="00BA6837">
        <w:t>20 U.S.C. §1232g, Family Education Rights Privacy Act</w:t>
      </w:r>
      <w:r w:rsidR="00D77B82" w:rsidRPr="00BA6837">
        <w:t>.</w:t>
      </w:r>
    </w:p>
    <w:p w14:paraId="67DC2245" w14:textId="3096CB18" w:rsidR="004773CE" w:rsidRPr="00BA6837" w:rsidRDefault="004773CE" w:rsidP="00BA6837">
      <w:pPr>
        <w:pStyle w:val="LEGALREFINDENT"/>
      </w:pPr>
      <w:r w:rsidRPr="00BA6837">
        <w:t>20 U.S.C</w:t>
      </w:r>
      <w:r w:rsidR="00D13DB5" w:rsidRPr="00BA6837">
        <w:t>.</w:t>
      </w:r>
      <w:r w:rsidRPr="00BA6837">
        <w:t xml:space="preserve"> §1400, The Individuals with Disabilities Education Act</w:t>
      </w:r>
      <w:r w:rsidR="00D77B82" w:rsidRPr="00BA6837">
        <w:t>.</w:t>
      </w:r>
    </w:p>
    <w:p w14:paraId="4CD4E6C8" w14:textId="57EE4325" w:rsidR="00D11BAA" w:rsidRPr="00BA6837" w:rsidRDefault="00D11BAA" w:rsidP="00BA6837">
      <w:pPr>
        <w:pStyle w:val="LEGALREFINDENT"/>
      </w:pPr>
      <w:r w:rsidRPr="00BA6837">
        <w:t xml:space="preserve">20 U.S.C. §1681 </w:t>
      </w:r>
      <w:r w:rsidRPr="00BA6837">
        <w:rPr>
          <w:u w:val="single"/>
        </w:rPr>
        <w:t>et</w:t>
      </w:r>
      <w:r w:rsidRPr="00BA6837">
        <w:t xml:space="preserve"> </w:t>
      </w:r>
      <w:r w:rsidRPr="00BA6837">
        <w:rPr>
          <w:u w:val="single"/>
        </w:rPr>
        <w:t>seq</w:t>
      </w:r>
      <w:r w:rsidRPr="00BA6837">
        <w:t>., Title IX of the Education Amendments; 34 C.F.R. Part 106.</w:t>
      </w:r>
    </w:p>
    <w:p w14:paraId="291A85E2" w14:textId="454118D4" w:rsidR="00D1540C" w:rsidRPr="00BA6837" w:rsidRDefault="00D1540C" w:rsidP="00BA6837">
      <w:pPr>
        <w:pStyle w:val="LEGALREFINDENT"/>
      </w:pPr>
      <w:r w:rsidRPr="00BA6837">
        <w:t>29 U.S.C. §206(d), Equal Pay Act.</w:t>
      </w:r>
    </w:p>
    <w:p w14:paraId="3DA2B02F" w14:textId="1CB7EC07" w:rsidR="00586481" w:rsidRPr="00BA6837" w:rsidRDefault="00586481" w:rsidP="00BA6837">
      <w:pPr>
        <w:pStyle w:val="LEGALREFINDENT"/>
      </w:pPr>
      <w:r w:rsidRPr="00BA6837">
        <w:t xml:space="preserve">29 U.S.C. §621 </w:t>
      </w:r>
      <w:r w:rsidRPr="007075F4">
        <w:rPr>
          <w:u w:val="single"/>
        </w:rPr>
        <w:t>et</w:t>
      </w:r>
      <w:r w:rsidRPr="00BA6837">
        <w:t xml:space="preserve"> </w:t>
      </w:r>
      <w:r w:rsidRPr="007075F4">
        <w:rPr>
          <w:u w:val="single"/>
        </w:rPr>
        <w:t>seq</w:t>
      </w:r>
      <w:r w:rsidRPr="00BA6837">
        <w:t>.</w:t>
      </w:r>
      <w:r w:rsidR="00D1540C" w:rsidRPr="00BA6837">
        <w:t>, Age Discrimination in Employment Act.</w:t>
      </w:r>
    </w:p>
    <w:p w14:paraId="5E185E7D" w14:textId="56E677E6" w:rsidR="00D11BAA" w:rsidRPr="00BA6837" w:rsidRDefault="00D11BAA" w:rsidP="00BA6837">
      <w:pPr>
        <w:pStyle w:val="LEGALREFINDENT"/>
      </w:pPr>
      <w:r w:rsidRPr="00BA6837">
        <w:t xml:space="preserve">29 U.S.C. §791 </w:t>
      </w:r>
      <w:r w:rsidRPr="007075F4">
        <w:rPr>
          <w:u w:val="single"/>
        </w:rPr>
        <w:t>et</w:t>
      </w:r>
      <w:r w:rsidRPr="00BA6837">
        <w:t xml:space="preserve"> </w:t>
      </w:r>
      <w:r w:rsidRPr="007075F4">
        <w:rPr>
          <w:u w:val="single"/>
        </w:rPr>
        <w:t>seq</w:t>
      </w:r>
      <w:r w:rsidRPr="00BA6837">
        <w:t>., Rehabilitation Act of 1973.</w:t>
      </w:r>
    </w:p>
    <w:p w14:paraId="1825C3F4" w14:textId="23FA329C" w:rsidR="00315A68" w:rsidRPr="00BA6837" w:rsidRDefault="00315A68" w:rsidP="00BA6837">
      <w:pPr>
        <w:pStyle w:val="LEGALREFINDENT"/>
      </w:pPr>
      <w:r w:rsidRPr="00BA6837">
        <w:t>29 U.S.C. §2612, Family and Medical Leave Act</w:t>
      </w:r>
      <w:r w:rsidR="00D77B82" w:rsidRPr="00BA6837">
        <w:t>.</w:t>
      </w:r>
    </w:p>
    <w:p w14:paraId="3378D164" w14:textId="62928499" w:rsidR="00D11BAA" w:rsidRPr="00BA6837" w:rsidRDefault="00D11BAA" w:rsidP="00BA6837">
      <w:pPr>
        <w:pStyle w:val="LEGALREFINDENT"/>
      </w:pPr>
      <w:r w:rsidRPr="00BA6837">
        <w:t xml:space="preserve">42 U.S.C. §2000d </w:t>
      </w:r>
      <w:r w:rsidRPr="007075F4">
        <w:rPr>
          <w:u w:val="single"/>
        </w:rPr>
        <w:t>et</w:t>
      </w:r>
      <w:r w:rsidRPr="00BA6837">
        <w:t xml:space="preserve"> </w:t>
      </w:r>
      <w:r w:rsidRPr="007075F4">
        <w:rPr>
          <w:u w:val="single"/>
        </w:rPr>
        <w:t>seq</w:t>
      </w:r>
      <w:r w:rsidRPr="00BA6837">
        <w:t>., Title VI of the Civil Rights Act.</w:t>
      </w:r>
    </w:p>
    <w:p w14:paraId="7A9A109A" w14:textId="77777777" w:rsidR="00D11BAA" w:rsidRPr="00BA6837" w:rsidRDefault="00D11BAA" w:rsidP="00BA6837">
      <w:pPr>
        <w:pStyle w:val="LEGALREFINDENT"/>
      </w:pPr>
      <w:r w:rsidRPr="00BA6837">
        <w:t>42 U.S.C. §2000e et seq., Equal Employment Opportunities Act (Title VII of the Civil Rights Act).</w:t>
      </w:r>
    </w:p>
    <w:p w14:paraId="447BE5A6" w14:textId="77777777" w:rsidR="00D11BAA" w:rsidRPr="00BA6837" w:rsidRDefault="00D11BAA" w:rsidP="00BA6837">
      <w:pPr>
        <w:pStyle w:val="LEGALREFINDENT"/>
      </w:pPr>
      <w:r w:rsidRPr="00BA6837">
        <w:t xml:space="preserve">42 U.S.C. §2000ff </w:t>
      </w:r>
      <w:r w:rsidRPr="007075F4">
        <w:rPr>
          <w:u w:val="single"/>
        </w:rPr>
        <w:t>e</w:t>
      </w:r>
      <w:r w:rsidRPr="00BA6837">
        <w:t xml:space="preserve">t </w:t>
      </w:r>
      <w:r w:rsidRPr="007075F4">
        <w:rPr>
          <w:u w:val="single"/>
        </w:rPr>
        <w:t>seq</w:t>
      </w:r>
      <w:r w:rsidRPr="00BA6837">
        <w:t>., Genetic Information Nondiscrimination Act.</w:t>
      </w:r>
    </w:p>
    <w:p w14:paraId="23FEFF84" w14:textId="089D429F" w:rsidR="00D11BAA" w:rsidRPr="00BA6837" w:rsidRDefault="00D11BAA" w:rsidP="00BA6837">
      <w:pPr>
        <w:pStyle w:val="LEGALREFINDENT"/>
      </w:pPr>
      <w:r w:rsidRPr="00BA6837">
        <w:t xml:space="preserve">42 U.S.C. §11431 </w:t>
      </w:r>
      <w:r w:rsidRPr="007075F4">
        <w:rPr>
          <w:u w:val="single"/>
        </w:rPr>
        <w:t>et</w:t>
      </w:r>
      <w:r w:rsidRPr="00BA6837">
        <w:t xml:space="preserve"> </w:t>
      </w:r>
      <w:r w:rsidRPr="007075F4">
        <w:rPr>
          <w:u w:val="single"/>
        </w:rPr>
        <w:t>seq</w:t>
      </w:r>
      <w:r w:rsidRPr="00BA6837">
        <w:t>., McKinney-Vento Homeless Assistance Act.</w:t>
      </w:r>
    </w:p>
    <w:p w14:paraId="254DCBD9" w14:textId="71B63533" w:rsidR="00586481" w:rsidRPr="00BA6837" w:rsidRDefault="00586481" w:rsidP="00BA6837">
      <w:pPr>
        <w:pStyle w:val="LEGALREFINDENT"/>
      </w:pPr>
      <w:r w:rsidRPr="00BA6837">
        <w:t xml:space="preserve">42 U.S.C. §12101 </w:t>
      </w:r>
      <w:r w:rsidRPr="007075F4">
        <w:rPr>
          <w:u w:val="single"/>
        </w:rPr>
        <w:t>et</w:t>
      </w:r>
      <w:r w:rsidRPr="00BA6837">
        <w:t xml:space="preserve"> </w:t>
      </w:r>
      <w:r w:rsidRPr="007075F4">
        <w:rPr>
          <w:u w:val="single"/>
        </w:rPr>
        <w:t>seq</w:t>
      </w:r>
      <w:r w:rsidRPr="00BA6837">
        <w:t>.</w:t>
      </w:r>
      <w:r w:rsidR="00D1540C" w:rsidRPr="00BA6837">
        <w:t>, Americans With Disabilities Act.</w:t>
      </w:r>
    </w:p>
    <w:p w14:paraId="229B14F6" w14:textId="7681C8F3" w:rsidR="006A3265" w:rsidRPr="00BA6837" w:rsidRDefault="008C4A6B" w:rsidP="00BA6837">
      <w:pPr>
        <w:pStyle w:val="LEGALREFINDENT"/>
      </w:pPr>
      <w:r w:rsidRPr="00BA6837">
        <w:t>105 ILCS 5/2-3.8, 5/3-10,</w:t>
      </w:r>
      <w:r w:rsidR="004773CE" w:rsidRPr="00BA6837">
        <w:t xml:space="preserve"> 5/10-20, 5/10-20.5,</w:t>
      </w:r>
      <w:r w:rsidRPr="00BA6837">
        <w:t xml:space="preserve"> 5/10-20.7a,</w:t>
      </w:r>
      <w:r w:rsidR="00C57D37" w:rsidRPr="00BA6837">
        <w:t xml:space="preserve"> 5/10-20.60,</w:t>
      </w:r>
      <w:r w:rsidR="004773CE" w:rsidRPr="00BA6837">
        <w:t xml:space="preserve"> 5/10-20.69 5/10-20.75</w:t>
      </w:r>
      <w:r w:rsidR="00282A44" w:rsidRPr="00BA6837">
        <w:t xml:space="preserve"> (final citation pending),</w:t>
      </w:r>
      <w:r w:rsidRPr="00BA6837">
        <w:t xml:space="preserve"> 5/10-22.5, 5/22-19, 5/24-4, 5/27</w:t>
      </w:r>
      <w:r w:rsidR="004C2F22" w:rsidRPr="00BA6837">
        <w:t>-</w:t>
      </w:r>
      <w:r w:rsidRPr="00BA6837">
        <w:t>1,</w:t>
      </w:r>
      <w:r w:rsidR="004C2F22" w:rsidRPr="00BA6837">
        <w:t xml:space="preserve"> 5/27-23.7,</w:t>
      </w:r>
      <w:r w:rsidRPr="00BA6837">
        <w:t xml:space="preserve"> and 45/1-15.</w:t>
      </w:r>
    </w:p>
    <w:p w14:paraId="298108BB" w14:textId="29F5DDD1" w:rsidR="00D77B82" w:rsidRPr="00BA6837" w:rsidRDefault="00D77B82" w:rsidP="00BA6837">
      <w:pPr>
        <w:pStyle w:val="LEGALREFINDENT"/>
      </w:pPr>
      <w:r w:rsidRPr="00BA6837">
        <w:t>5 ILCS 415/10(a)(2), Government Severance Pay Act</w:t>
      </w:r>
      <w:r w:rsidR="00BA6837">
        <w:t>.</w:t>
      </w:r>
    </w:p>
    <w:p w14:paraId="3D3A3AB2" w14:textId="592EF68E" w:rsidR="00D11BAA" w:rsidRPr="00BA6837" w:rsidRDefault="00D11BAA" w:rsidP="00BA6837">
      <w:pPr>
        <w:pStyle w:val="LEGALREFINDENT"/>
      </w:pPr>
      <w:r w:rsidRPr="00BA6837">
        <w:t>5 ILCS 430/70-5(a), State Officials and Employees Ethics Act.</w:t>
      </w:r>
    </w:p>
    <w:p w14:paraId="327FF7FC" w14:textId="43541EB3" w:rsidR="00BE17F1" w:rsidRPr="00BA6837" w:rsidRDefault="00BE17F1" w:rsidP="00BA6837">
      <w:pPr>
        <w:pStyle w:val="LEGALREFINDENT"/>
      </w:pPr>
      <w:r w:rsidRPr="00BA6837">
        <w:t>410 ILCS 513/</w:t>
      </w:r>
      <w:r w:rsidR="00D1540C" w:rsidRPr="00BA6837">
        <w:t>, Ill</w:t>
      </w:r>
      <w:r w:rsidR="00D067B2" w:rsidRPr="00BA6837">
        <w:t>.</w:t>
      </w:r>
      <w:r w:rsidR="00D1540C" w:rsidRPr="00BA6837">
        <w:t xml:space="preserve"> Genetic Information Privacy Act</w:t>
      </w:r>
      <w:r w:rsidRPr="00BA6837">
        <w:t>.</w:t>
      </w:r>
    </w:p>
    <w:p w14:paraId="7259577C" w14:textId="32C1BDCF" w:rsidR="008C4A6B" w:rsidRPr="00BA6837" w:rsidRDefault="00007050" w:rsidP="00BA6837">
      <w:pPr>
        <w:pStyle w:val="LEGALREFINDENT"/>
      </w:pPr>
      <w:r w:rsidRPr="00BA6837">
        <w:t>740 ILCS 174/</w:t>
      </w:r>
      <w:r w:rsidR="00D1540C" w:rsidRPr="00BA6837">
        <w:t>, Whistleblower Act</w:t>
      </w:r>
      <w:r w:rsidR="008C4A6B" w:rsidRPr="00BA6837">
        <w:t>.</w:t>
      </w:r>
    </w:p>
    <w:p w14:paraId="1D76FF2D" w14:textId="5B0E20DC" w:rsidR="00D13DB5" w:rsidRPr="00BA6837" w:rsidRDefault="00D13DB5" w:rsidP="00BA6837">
      <w:pPr>
        <w:pStyle w:val="LEGALREFINDENT"/>
      </w:pPr>
      <w:r w:rsidRPr="00BA6837">
        <w:t>740 ILCS 175/</w:t>
      </w:r>
      <w:r w:rsidR="00D77B82" w:rsidRPr="00BA6837">
        <w:t xml:space="preserve">, </w:t>
      </w:r>
      <w:r w:rsidR="00D067B2" w:rsidRPr="00BA6837">
        <w:t xml:space="preserve">Ill. </w:t>
      </w:r>
      <w:r w:rsidR="00D77B82" w:rsidRPr="00BA6837">
        <w:t>False Claims Act.</w:t>
      </w:r>
    </w:p>
    <w:p w14:paraId="687E2130" w14:textId="5FC21BB4" w:rsidR="008C4A6B" w:rsidRPr="00BA6837" w:rsidRDefault="008C4A6B" w:rsidP="00BA6837">
      <w:pPr>
        <w:pStyle w:val="LEGALREFINDENT"/>
      </w:pPr>
      <w:r w:rsidRPr="00BA6837">
        <w:t>775 ILCS 5/</w:t>
      </w:r>
      <w:r w:rsidR="00D1540C" w:rsidRPr="00BA6837">
        <w:t>, Ill</w:t>
      </w:r>
      <w:r w:rsidR="00D067B2" w:rsidRPr="00BA6837">
        <w:t>.</w:t>
      </w:r>
      <w:r w:rsidR="00D1540C" w:rsidRPr="00BA6837">
        <w:t xml:space="preserve"> Human Rights Act</w:t>
      </w:r>
      <w:r w:rsidRPr="00BA6837">
        <w:t>.</w:t>
      </w:r>
    </w:p>
    <w:p w14:paraId="49CC1311" w14:textId="34ADB7CF" w:rsidR="00586481" w:rsidRPr="00BA6837" w:rsidRDefault="00586481" w:rsidP="00BA6837">
      <w:pPr>
        <w:pStyle w:val="LEGALREFINDENT"/>
      </w:pPr>
      <w:r w:rsidRPr="00BA6837">
        <w:t>82</w:t>
      </w:r>
      <w:r w:rsidR="00F45EF1" w:rsidRPr="00BA6837">
        <w:t>0</w:t>
      </w:r>
      <w:r w:rsidRPr="00BA6837">
        <w:t xml:space="preserve"> ILCS 180</w:t>
      </w:r>
      <w:r w:rsidR="00B0583A" w:rsidRPr="00BA6837">
        <w:t>/</w:t>
      </w:r>
      <w:r w:rsidRPr="00BA6837">
        <w:t xml:space="preserve">, </w:t>
      </w:r>
      <w:r w:rsidR="00D11BAA" w:rsidRPr="00BA6837">
        <w:t xml:space="preserve">Victims’ Economic Security and Safety Act; </w:t>
      </w:r>
      <w:r w:rsidRPr="00BA6837">
        <w:t xml:space="preserve">56 </w:t>
      </w:r>
      <w:proofErr w:type="spellStart"/>
      <w:proofErr w:type="gramStart"/>
      <w:r w:rsidRPr="00BA6837">
        <w:t>Ill.Admin.Code</w:t>
      </w:r>
      <w:proofErr w:type="spellEnd"/>
      <w:proofErr w:type="gramEnd"/>
      <w:r w:rsidRPr="00BA6837">
        <w:t xml:space="preserve"> Part 280.</w:t>
      </w:r>
    </w:p>
    <w:p w14:paraId="35044AD8" w14:textId="07715DDD" w:rsidR="008C4A6B" w:rsidRPr="00BA6837" w:rsidRDefault="008C4A6B" w:rsidP="00BA6837">
      <w:pPr>
        <w:pStyle w:val="LEGALREFINDENT"/>
      </w:pPr>
      <w:r w:rsidRPr="00BA6837">
        <w:t>820 ILCS 112</w:t>
      </w:r>
      <w:r w:rsidR="00E01C77" w:rsidRPr="00BA6837">
        <w:t>/</w:t>
      </w:r>
      <w:r w:rsidR="00D1540C" w:rsidRPr="00BA6837">
        <w:t>, Equal Pay Act of 2003</w:t>
      </w:r>
      <w:r w:rsidRPr="00BA6837">
        <w:t>.</w:t>
      </w:r>
    </w:p>
    <w:p w14:paraId="3AB5F137" w14:textId="5763BEAE" w:rsidR="00315A68" w:rsidRPr="00BA6837" w:rsidRDefault="007578BC" w:rsidP="00BA6837">
      <w:pPr>
        <w:pStyle w:val="LEGALREFINDENT"/>
      </w:pPr>
      <w:r w:rsidRPr="00BA6837">
        <w:t>820 ILCS 70/</w:t>
      </w:r>
      <w:r w:rsidR="00D1540C" w:rsidRPr="00BA6837">
        <w:t>, Employee Credit Privacy Act</w:t>
      </w:r>
      <w:r w:rsidR="00315A68" w:rsidRPr="00BA6837">
        <w:t>, 70/10(b), and 70/25</w:t>
      </w:r>
      <w:r w:rsidR="00586481" w:rsidRPr="00BA6837">
        <w:t xml:space="preserve">23 </w:t>
      </w:r>
      <w:proofErr w:type="spellStart"/>
      <w:proofErr w:type="gramStart"/>
      <w:r w:rsidR="00586481" w:rsidRPr="00BA6837">
        <w:t>Ill.Admin.Code</w:t>
      </w:r>
      <w:proofErr w:type="spellEnd"/>
      <w:proofErr w:type="gramEnd"/>
      <w:r w:rsidR="00586481" w:rsidRPr="00BA6837">
        <w:t xml:space="preserve"> §§1.240</w:t>
      </w:r>
      <w:r w:rsidR="004773CE" w:rsidRPr="00BA6837">
        <w:t xml:space="preserve">, </w:t>
      </w:r>
      <w:r w:rsidR="00586481" w:rsidRPr="00BA6837">
        <w:t>200</w:t>
      </w:r>
      <w:r w:rsidR="00C57D37" w:rsidRPr="00BA6837">
        <w:t>.</w:t>
      </w:r>
      <w:r w:rsidR="00586481" w:rsidRPr="00BA6837">
        <w:t>40</w:t>
      </w:r>
      <w:r w:rsidR="004773CE" w:rsidRPr="00BA6837">
        <w:t>, 226.50, and 226.570</w:t>
      </w:r>
      <w:r w:rsidR="00586481" w:rsidRPr="00BA6837">
        <w:t>.</w:t>
      </w:r>
    </w:p>
    <w:p w14:paraId="661B70C3" w14:textId="2BABA9DA" w:rsidR="00586481" w:rsidRPr="00882323" w:rsidRDefault="00586481" w:rsidP="00B64CFF">
      <w:pPr>
        <w:pStyle w:val="CROSSREF"/>
      </w:pPr>
      <w:r w:rsidRPr="00882323">
        <w:t>CROSS REF.:</w:t>
      </w:r>
      <w:r w:rsidRPr="00882323">
        <w:tab/>
      </w:r>
      <w:r w:rsidR="00EA60EE" w:rsidRPr="00882323">
        <w:t xml:space="preserve">2:105 (Ethics and Gift Ban), </w:t>
      </w:r>
      <w:r w:rsidR="00CF7FF3" w:rsidRPr="00882323">
        <w:t>2:265 (</w:t>
      </w:r>
      <w:r w:rsidR="00C46FAD">
        <w:t xml:space="preserve">Title IX </w:t>
      </w:r>
      <w:r w:rsidR="00CF7FF3" w:rsidRPr="00882323">
        <w:t xml:space="preserve">Sexual Harassment Grievance Procedure), </w:t>
      </w:r>
      <w:r w:rsidRPr="00882323">
        <w:t>5:10 (Equal Employment Opportunity and Minority Recruitment), 5:20 (</w:t>
      </w:r>
      <w:r w:rsidR="009D6A1C" w:rsidRPr="00882323">
        <w:t>Workplace</w:t>
      </w:r>
      <w:r w:rsidRPr="00882323">
        <w:t xml:space="preserve"> Harassment</w:t>
      </w:r>
      <w:r w:rsidR="009D6A1C" w:rsidRPr="00882323">
        <w:t xml:space="preserve"> Prohibited</w:t>
      </w:r>
      <w:r w:rsidRPr="00882323">
        <w:t xml:space="preserve">), </w:t>
      </w:r>
      <w:r w:rsidR="001213E6" w:rsidRPr="00882323">
        <w:t xml:space="preserve">5:30 (Hiring Process and Criteria), </w:t>
      </w:r>
      <w:r w:rsidR="009453F3">
        <w:t xml:space="preserve">5:90 (Abused and Neglected Child Reporting), </w:t>
      </w:r>
      <w:r w:rsidR="001C7BDD" w:rsidRPr="00882323">
        <w:t xml:space="preserve">6:120 (Education of Children with Disabilities), </w:t>
      </w:r>
      <w:r w:rsidRPr="00882323">
        <w:t>6:140 (Education of Homeless Children)</w:t>
      </w:r>
      <w:bookmarkStart w:id="1" w:name="xref6170"/>
      <w:r w:rsidRPr="00882323">
        <w:t>, 6:170 (Title I Programs)</w:t>
      </w:r>
      <w:bookmarkEnd w:id="1"/>
      <w:r w:rsidRPr="00882323">
        <w:t xml:space="preserve">, 6:260 (Complaints About Curriculum, Instructional Materials, and Programs), 7:10 (Equal Educational Opportunities), </w:t>
      </w:r>
      <w:r w:rsidR="00EA60EE" w:rsidRPr="00882323">
        <w:t xml:space="preserve">7:15 (Student and Family Privacy Rights), </w:t>
      </w:r>
      <w:r w:rsidRPr="00882323">
        <w:t xml:space="preserve">7:20 (Harassment of Students Prohibited), </w:t>
      </w:r>
      <w:r w:rsidR="00A105F9" w:rsidRPr="00882323">
        <w:t>7:180 (</w:t>
      </w:r>
      <w:r w:rsidR="002963F2" w:rsidRPr="00882323">
        <w:t>Prevention of and Response to</w:t>
      </w:r>
      <w:r w:rsidR="00A105F9" w:rsidRPr="00882323">
        <w:t xml:space="preserve"> Bullying, Intimidation, and Harassment), </w:t>
      </w:r>
      <w:r w:rsidR="009453F3">
        <w:t xml:space="preserve">7:185 (Teen Dating Violence Prohibited), </w:t>
      </w:r>
      <w:r w:rsidR="00EA60EE" w:rsidRPr="00882323">
        <w:t xml:space="preserve">7:310 (Restrictions on Publications; Elementary Schools), </w:t>
      </w:r>
      <w:r w:rsidR="00445D0E" w:rsidRPr="00882323">
        <w:t xml:space="preserve">7:315 (Restrictions on Publications; High Schools), </w:t>
      </w:r>
      <w:r w:rsidRPr="00882323">
        <w:t xml:space="preserve">8:70 (Accommodating Individuals with Disabilities), </w:t>
      </w:r>
      <w:r w:rsidR="00EA60EE" w:rsidRPr="00882323">
        <w:t xml:space="preserve">8:95 (Parental Involvement), </w:t>
      </w:r>
      <w:r w:rsidRPr="00882323">
        <w:t xml:space="preserve">8:110 (Public Suggestions and </w:t>
      </w:r>
      <w:r w:rsidR="003704DE" w:rsidRPr="00882323">
        <w:t>Concerns</w:t>
      </w:r>
      <w:r w:rsidRPr="00882323">
        <w:t>)</w:t>
      </w:r>
      <w:bookmarkStart w:id="2" w:name="adopted"/>
      <w:bookmarkEnd w:id="2"/>
    </w:p>
    <w:sectPr w:rsidR="00586481" w:rsidRPr="00882323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EAA96" w16cex:dateUtc="2020-06-09T03:38:17.047Z"/>
  <w16cex:commentExtensible w16cex:durableId="0A0EA177" w16cex:dateUtc="2020-06-09T03:39:47.389Z"/>
  <w16cex:commentExtensible w16cex:durableId="64D6BBF1" w16cex:dateUtc="2020-06-09T03:40:56.295Z"/>
  <w16cex:commentExtensible w16cex:durableId="4BABF13E" w16cex:dateUtc="2020-06-09T14:22:18.726Z"/>
  <w16cex:commentExtensible w16cex:durableId="03D27B8A" w16cex:dateUtc="2020-06-09T14:25:54.259Z"/>
  <w16cex:commentExtensible w16cex:durableId="4DC89284" w16cex:dateUtc="2020-06-09T14:54:26.078Z"/>
  <w16cex:commentExtensible w16cex:durableId="45B36FB6" w16cex:dateUtc="2020-06-28T22:39:24.2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73BD1" w14:textId="77777777" w:rsidR="005E2120" w:rsidRDefault="005E2120">
      <w:r>
        <w:separator/>
      </w:r>
    </w:p>
  </w:endnote>
  <w:endnote w:type="continuationSeparator" w:id="0">
    <w:p w14:paraId="15AF6832" w14:textId="77777777" w:rsidR="005E2120" w:rsidRDefault="005E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388F" w14:textId="77777777" w:rsidR="000131D2" w:rsidRDefault="000131D2">
    <w:pPr>
      <w:pStyle w:val="Footer"/>
      <w:tabs>
        <w:tab w:val="clear" w:pos="4320"/>
        <w:tab w:val="clear" w:pos="8640"/>
        <w:tab w:val="right" w:pos="9000"/>
      </w:tabs>
    </w:pPr>
  </w:p>
  <w:p w14:paraId="195B9B4C" w14:textId="5C9C0F06" w:rsidR="000131D2" w:rsidRPr="00882323" w:rsidRDefault="000131D2" w:rsidP="00882323">
    <w:pPr>
      <w:pStyle w:val="Footer"/>
      <w:tabs>
        <w:tab w:val="clear" w:pos="4320"/>
        <w:tab w:val="clear" w:pos="8640"/>
        <w:tab w:val="right" w:pos="9000"/>
      </w:tabs>
    </w:pPr>
    <w:r w:rsidRPr="00882323">
      <w:t>2:260</w:t>
    </w:r>
    <w:r w:rsidRPr="00882323">
      <w:tab/>
      <w:t xml:space="preserve">Page </w:t>
    </w:r>
    <w:r w:rsidRPr="00882323">
      <w:fldChar w:fldCharType="begin"/>
    </w:r>
    <w:r w:rsidRPr="00882323">
      <w:instrText xml:space="preserve"> PAGE  \* MERGEFORMAT </w:instrText>
    </w:r>
    <w:r w:rsidRPr="00882323">
      <w:fldChar w:fldCharType="separate"/>
    </w:r>
    <w:r w:rsidR="007075F4">
      <w:rPr>
        <w:noProof/>
      </w:rPr>
      <w:t>8</w:t>
    </w:r>
    <w:r w:rsidRPr="00882323">
      <w:fldChar w:fldCharType="end"/>
    </w:r>
    <w:r w:rsidRPr="00882323">
      <w:t xml:space="preserve"> of </w:t>
    </w:r>
    <w:r w:rsidR="00F1662A" w:rsidRPr="00882323">
      <w:rPr>
        <w:noProof/>
      </w:rPr>
      <w:fldChar w:fldCharType="begin"/>
    </w:r>
    <w:r w:rsidR="00F1662A" w:rsidRPr="00882323">
      <w:rPr>
        <w:noProof/>
      </w:rPr>
      <w:instrText xml:space="preserve"> SECTIONPAGES  \* MERGEFORMAT </w:instrText>
    </w:r>
    <w:r w:rsidR="00F1662A" w:rsidRPr="00882323">
      <w:rPr>
        <w:noProof/>
      </w:rPr>
      <w:fldChar w:fldCharType="separate"/>
    </w:r>
    <w:r w:rsidR="00D8314E">
      <w:rPr>
        <w:noProof/>
      </w:rPr>
      <w:t>5</w:t>
    </w:r>
    <w:r w:rsidR="00F1662A" w:rsidRPr="008823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45251" w14:textId="77777777" w:rsidR="005E2120" w:rsidRDefault="005E2120" w:rsidP="00AE01B2">
      <w:r>
        <w:separator/>
      </w:r>
    </w:p>
    <w:p w14:paraId="5D7694C3" w14:textId="77777777" w:rsidR="005E2120" w:rsidRPr="00AE01B2" w:rsidRDefault="005E2120" w:rsidP="00AE01B2">
      <w:r w:rsidRPr="00AE01B2"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138D6AF6" w14:textId="77777777" w:rsidR="005E2120" w:rsidRDefault="005E2120" w:rsidP="00AE01B2">
      <w:r>
        <w:separator/>
      </w:r>
    </w:p>
    <w:p w14:paraId="334D1744" w14:textId="77777777" w:rsidR="005E2120" w:rsidRPr="00AE01B2" w:rsidRDefault="005E2120" w:rsidP="00AE01B2">
      <w:r w:rsidRPr="00AE01B2"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Notice" w:id="1">
    <w:p w14:paraId="35A43805" w14:textId="77777777" w:rsidR="005E2120" w:rsidRPr="009D4A8C" w:rsidRDefault="005E2120" w:rsidP="009D4A8C">
      <w:pPr>
        <w:pStyle w:val="Footer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D8CB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C2E7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A44E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1A6A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11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173F1276"/>
    <w:multiLevelType w:val="singleLevel"/>
    <w:tmpl w:val="A9F0F9D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1B8B5379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21993060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22DA3F4A"/>
    <w:multiLevelType w:val="singleLevel"/>
    <w:tmpl w:val="BDF2A6B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43758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24411AE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24C2676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31F82BF1"/>
    <w:multiLevelType w:val="hybridMultilevel"/>
    <w:tmpl w:val="E5E63798"/>
    <w:lvl w:ilvl="0" w:tplc="0409000F">
      <w:start w:val="1"/>
      <w:numFmt w:val="decimal"/>
      <w:lvlText w:val="%1."/>
      <w:lvlJc w:val="left"/>
      <w:pPr>
        <w:ind w:left="1127" w:hanging="360"/>
      </w:p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4" w15:restartNumberingAfterBreak="0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8" w15:restartNumberingAfterBreak="0">
    <w:nsid w:val="3877670D"/>
    <w:multiLevelType w:val="hybridMultilevel"/>
    <w:tmpl w:val="774AB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 w15:restartNumberingAfterBreak="0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2" w15:restartNumberingAfterBreak="0">
    <w:nsid w:val="437C25E6"/>
    <w:multiLevelType w:val="singleLevel"/>
    <w:tmpl w:val="03D8CB8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3" w15:restartNumberingAfterBreak="0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4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5" w15:restartNumberingAfterBreak="0">
    <w:nsid w:val="4BDF6EEE"/>
    <w:multiLevelType w:val="singleLevel"/>
    <w:tmpl w:val="192E78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7" w15:restartNumberingAfterBreak="0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8" w15:restartNumberingAfterBreak="0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9" w15:restartNumberingAfterBreak="0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0" w15:restartNumberingAfterBreak="0">
    <w:nsid w:val="5DC77744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1" w15:restartNumberingAfterBreak="0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2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3" w15:restartNumberingAfterBreak="0">
    <w:nsid w:val="6E2F4416"/>
    <w:multiLevelType w:val="singleLevel"/>
    <w:tmpl w:val="F89871E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5" w15:restartNumberingAfterBreak="0">
    <w:nsid w:val="74F5247D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6"/>
  </w:num>
  <w:num w:numId="8">
    <w:abstractNumId w:val="11"/>
  </w:num>
  <w:num w:numId="9">
    <w:abstractNumId w:val="20"/>
  </w:num>
  <w:num w:numId="10">
    <w:abstractNumId w:val="42"/>
  </w:num>
  <w:num w:numId="11">
    <w:abstractNumId w:val="34"/>
  </w:num>
  <w:num w:numId="12">
    <w:abstractNumId w:val="37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38"/>
  </w:num>
  <w:num w:numId="15">
    <w:abstractNumId w:val="25"/>
  </w:num>
  <w:num w:numId="16">
    <w:abstractNumId w:val="31"/>
  </w:num>
  <w:num w:numId="17">
    <w:abstractNumId w:val="27"/>
  </w:num>
  <w:num w:numId="18">
    <w:abstractNumId w:val="21"/>
  </w:num>
  <w:num w:numId="19">
    <w:abstractNumId w:val="24"/>
  </w:num>
  <w:num w:numId="20">
    <w:abstractNumId w:val="41"/>
  </w:num>
  <w:num w:numId="21">
    <w:abstractNumId w:val="33"/>
  </w:num>
  <w:num w:numId="22">
    <w:abstractNumId w:val="39"/>
  </w:num>
  <w:num w:numId="23">
    <w:abstractNumId w:val="30"/>
  </w:num>
  <w:num w:numId="24">
    <w:abstractNumId w:val="36"/>
  </w:num>
  <w:num w:numId="25">
    <w:abstractNumId w:val="29"/>
  </w:num>
  <w:num w:numId="26">
    <w:abstractNumId w:val="15"/>
  </w:num>
  <w:num w:numId="27">
    <w:abstractNumId w:val="22"/>
  </w:num>
  <w:num w:numId="28">
    <w:abstractNumId w:val="19"/>
  </w:num>
  <w:num w:numId="29">
    <w:abstractNumId w:val="14"/>
  </w:num>
  <w:num w:numId="30">
    <w:abstractNumId w:val="45"/>
  </w:num>
  <w:num w:numId="31">
    <w:abstractNumId w:val="44"/>
  </w:num>
  <w:num w:numId="32">
    <w:abstractNumId w:val="18"/>
  </w:num>
  <w:num w:numId="33">
    <w:abstractNumId w:val="13"/>
  </w:num>
  <w:num w:numId="34">
    <w:abstractNumId w:val="40"/>
  </w:num>
  <w:num w:numId="35">
    <w:abstractNumId w:val="17"/>
  </w:num>
  <w:num w:numId="36">
    <w:abstractNumId w:val="16"/>
  </w:num>
  <w:num w:numId="37">
    <w:abstractNumId w:val="12"/>
  </w:num>
  <w:num w:numId="38">
    <w:abstractNumId w:val="2"/>
  </w:num>
  <w:num w:numId="39">
    <w:abstractNumId w:val="4"/>
  </w:num>
  <w:num w:numId="40">
    <w:abstractNumId w:val="1"/>
  </w:num>
  <w:num w:numId="41">
    <w:abstractNumId w:val="0"/>
  </w:num>
  <w:num w:numId="42">
    <w:abstractNumId w:val="35"/>
  </w:num>
  <w:num w:numId="43">
    <w:abstractNumId w:val="32"/>
  </w:num>
  <w:num w:numId="44">
    <w:abstractNumId w:val="43"/>
  </w:num>
  <w:num w:numId="45">
    <w:abstractNumId w:val="2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A9"/>
    <w:rsid w:val="00005D53"/>
    <w:rsid w:val="00007050"/>
    <w:rsid w:val="00010BCB"/>
    <w:rsid w:val="00012118"/>
    <w:rsid w:val="000131D2"/>
    <w:rsid w:val="000133E7"/>
    <w:rsid w:val="00015B95"/>
    <w:rsid w:val="00015D14"/>
    <w:rsid w:val="00016159"/>
    <w:rsid w:val="00026D4D"/>
    <w:rsid w:val="00027727"/>
    <w:rsid w:val="00027B31"/>
    <w:rsid w:val="0003321F"/>
    <w:rsid w:val="00033B06"/>
    <w:rsid w:val="00036FFE"/>
    <w:rsid w:val="00041B2D"/>
    <w:rsid w:val="000445AD"/>
    <w:rsid w:val="00050C15"/>
    <w:rsid w:val="0005753A"/>
    <w:rsid w:val="000610B0"/>
    <w:rsid w:val="00063559"/>
    <w:rsid w:val="0006378E"/>
    <w:rsid w:val="00070A3E"/>
    <w:rsid w:val="0007164A"/>
    <w:rsid w:val="000760B0"/>
    <w:rsid w:val="000762DD"/>
    <w:rsid w:val="000801A3"/>
    <w:rsid w:val="00083D64"/>
    <w:rsid w:val="00087043"/>
    <w:rsid w:val="00091F6D"/>
    <w:rsid w:val="000928D4"/>
    <w:rsid w:val="00093911"/>
    <w:rsid w:val="000B1C91"/>
    <w:rsid w:val="000B2D64"/>
    <w:rsid w:val="000B2D6E"/>
    <w:rsid w:val="000B75B6"/>
    <w:rsid w:val="000C3F74"/>
    <w:rsid w:val="000D0C74"/>
    <w:rsid w:val="000D7F59"/>
    <w:rsid w:val="000E5607"/>
    <w:rsid w:val="000E618A"/>
    <w:rsid w:val="000E7383"/>
    <w:rsid w:val="000F02B5"/>
    <w:rsid w:val="000F1A37"/>
    <w:rsid w:val="000F26E9"/>
    <w:rsid w:val="000F3CDB"/>
    <w:rsid w:val="000F4A4B"/>
    <w:rsid w:val="000F67C5"/>
    <w:rsid w:val="000F74ED"/>
    <w:rsid w:val="001010F7"/>
    <w:rsid w:val="00103F5E"/>
    <w:rsid w:val="00104BE1"/>
    <w:rsid w:val="00110818"/>
    <w:rsid w:val="00110F84"/>
    <w:rsid w:val="0011219C"/>
    <w:rsid w:val="0011295E"/>
    <w:rsid w:val="001134D0"/>
    <w:rsid w:val="0011605A"/>
    <w:rsid w:val="0011664B"/>
    <w:rsid w:val="001213E6"/>
    <w:rsid w:val="00125F63"/>
    <w:rsid w:val="00130046"/>
    <w:rsid w:val="0013125A"/>
    <w:rsid w:val="0014375C"/>
    <w:rsid w:val="00145DD0"/>
    <w:rsid w:val="00147642"/>
    <w:rsid w:val="00147EF3"/>
    <w:rsid w:val="00152D39"/>
    <w:rsid w:val="00154DAE"/>
    <w:rsid w:val="00155AD9"/>
    <w:rsid w:val="001624B7"/>
    <w:rsid w:val="00163E3C"/>
    <w:rsid w:val="00166BCB"/>
    <w:rsid w:val="00170F11"/>
    <w:rsid w:val="00177103"/>
    <w:rsid w:val="00180A94"/>
    <w:rsid w:val="00180D27"/>
    <w:rsid w:val="00181801"/>
    <w:rsid w:val="00182A8E"/>
    <w:rsid w:val="001902CE"/>
    <w:rsid w:val="00190C46"/>
    <w:rsid w:val="00190F44"/>
    <w:rsid w:val="00193B3C"/>
    <w:rsid w:val="00193E04"/>
    <w:rsid w:val="00195104"/>
    <w:rsid w:val="00197B3E"/>
    <w:rsid w:val="001A10BB"/>
    <w:rsid w:val="001B256D"/>
    <w:rsid w:val="001C3315"/>
    <w:rsid w:val="001C3A6D"/>
    <w:rsid w:val="001C77B3"/>
    <w:rsid w:val="001C7BDD"/>
    <w:rsid w:val="001D242C"/>
    <w:rsid w:val="001D2EAF"/>
    <w:rsid w:val="001D3826"/>
    <w:rsid w:val="001D4AA6"/>
    <w:rsid w:val="001D4DD9"/>
    <w:rsid w:val="001D543A"/>
    <w:rsid w:val="001D5908"/>
    <w:rsid w:val="001E1FC2"/>
    <w:rsid w:val="001E52A4"/>
    <w:rsid w:val="001E63DA"/>
    <w:rsid w:val="001E79EB"/>
    <w:rsid w:val="001F2FB4"/>
    <w:rsid w:val="001F3C1F"/>
    <w:rsid w:val="0020149F"/>
    <w:rsid w:val="00201F93"/>
    <w:rsid w:val="002028C9"/>
    <w:rsid w:val="00202BB7"/>
    <w:rsid w:val="0020393C"/>
    <w:rsid w:val="002058B3"/>
    <w:rsid w:val="00207656"/>
    <w:rsid w:val="002240FC"/>
    <w:rsid w:val="00225550"/>
    <w:rsid w:val="00227F06"/>
    <w:rsid w:val="00230309"/>
    <w:rsid w:val="0023198E"/>
    <w:rsid w:val="002329EE"/>
    <w:rsid w:val="00237980"/>
    <w:rsid w:val="002400DF"/>
    <w:rsid w:val="00240A63"/>
    <w:rsid w:val="00240D9B"/>
    <w:rsid w:val="00257F47"/>
    <w:rsid w:val="0026169B"/>
    <w:rsid w:val="002629A9"/>
    <w:rsid w:val="00262E28"/>
    <w:rsid w:val="00263FA5"/>
    <w:rsid w:val="00266DCB"/>
    <w:rsid w:val="0027403C"/>
    <w:rsid w:val="00276088"/>
    <w:rsid w:val="00277C25"/>
    <w:rsid w:val="00282A44"/>
    <w:rsid w:val="00283EFC"/>
    <w:rsid w:val="002853CD"/>
    <w:rsid w:val="00285A1F"/>
    <w:rsid w:val="002904AB"/>
    <w:rsid w:val="00292F7C"/>
    <w:rsid w:val="00293170"/>
    <w:rsid w:val="00294708"/>
    <w:rsid w:val="00295E08"/>
    <w:rsid w:val="002963F2"/>
    <w:rsid w:val="00297E73"/>
    <w:rsid w:val="002A0441"/>
    <w:rsid w:val="002A4CCA"/>
    <w:rsid w:val="002A78CF"/>
    <w:rsid w:val="002A79EC"/>
    <w:rsid w:val="002B0751"/>
    <w:rsid w:val="002B5E88"/>
    <w:rsid w:val="002B6D3E"/>
    <w:rsid w:val="002B72FA"/>
    <w:rsid w:val="002C5D41"/>
    <w:rsid w:val="002C6605"/>
    <w:rsid w:val="002C7908"/>
    <w:rsid w:val="002D15E0"/>
    <w:rsid w:val="002D2D7C"/>
    <w:rsid w:val="002E0DC5"/>
    <w:rsid w:val="002E28BE"/>
    <w:rsid w:val="002E3196"/>
    <w:rsid w:val="002F030E"/>
    <w:rsid w:val="002F2700"/>
    <w:rsid w:val="002F6070"/>
    <w:rsid w:val="002F6DAD"/>
    <w:rsid w:val="00301D89"/>
    <w:rsid w:val="003040D7"/>
    <w:rsid w:val="00304687"/>
    <w:rsid w:val="00310E5F"/>
    <w:rsid w:val="0031220C"/>
    <w:rsid w:val="00315A68"/>
    <w:rsid w:val="003179BF"/>
    <w:rsid w:val="0032582B"/>
    <w:rsid w:val="003358AF"/>
    <w:rsid w:val="00335FB5"/>
    <w:rsid w:val="00336C09"/>
    <w:rsid w:val="00344E19"/>
    <w:rsid w:val="0034540D"/>
    <w:rsid w:val="00353FE3"/>
    <w:rsid w:val="0035602D"/>
    <w:rsid w:val="00356E57"/>
    <w:rsid w:val="00361DE0"/>
    <w:rsid w:val="00361E01"/>
    <w:rsid w:val="00363BC1"/>
    <w:rsid w:val="00367F12"/>
    <w:rsid w:val="003704DE"/>
    <w:rsid w:val="00372058"/>
    <w:rsid w:val="00375D8F"/>
    <w:rsid w:val="0037767B"/>
    <w:rsid w:val="00383506"/>
    <w:rsid w:val="003A0B76"/>
    <w:rsid w:val="003A2D86"/>
    <w:rsid w:val="003A72E1"/>
    <w:rsid w:val="003B61E1"/>
    <w:rsid w:val="003C2996"/>
    <w:rsid w:val="003C535F"/>
    <w:rsid w:val="003C6C6F"/>
    <w:rsid w:val="003C7CCF"/>
    <w:rsid w:val="003D1AA1"/>
    <w:rsid w:val="003D4562"/>
    <w:rsid w:val="003E0B36"/>
    <w:rsid w:val="003E0CC7"/>
    <w:rsid w:val="003E22AB"/>
    <w:rsid w:val="003E3D10"/>
    <w:rsid w:val="003E5D3A"/>
    <w:rsid w:val="003E5F17"/>
    <w:rsid w:val="003F2643"/>
    <w:rsid w:val="003F274C"/>
    <w:rsid w:val="003F2FFC"/>
    <w:rsid w:val="003F3683"/>
    <w:rsid w:val="003F737C"/>
    <w:rsid w:val="00407D93"/>
    <w:rsid w:val="00410682"/>
    <w:rsid w:val="004202EA"/>
    <w:rsid w:val="00421A75"/>
    <w:rsid w:val="0042350B"/>
    <w:rsid w:val="00423C0F"/>
    <w:rsid w:val="00424D3A"/>
    <w:rsid w:val="00425367"/>
    <w:rsid w:val="00427E5E"/>
    <w:rsid w:val="00431DC0"/>
    <w:rsid w:val="00435BB1"/>
    <w:rsid w:val="00440CE7"/>
    <w:rsid w:val="00445D0E"/>
    <w:rsid w:val="00446316"/>
    <w:rsid w:val="00446528"/>
    <w:rsid w:val="00447A25"/>
    <w:rsid w:val="004504D4"/>
    <w:rsid w:val="00456CF1"/>
    <w:rsid w:val="00461A10"/>
    <w:rsid w:val="0046311F"/>
    <w:rsid w:val="00463BC9"/>
    <w:rsid w:val="00466E6C"/>
    <w:rsid w:val="00470D37"/>
    <w:rsid w:val="00471BEC"/>
    <w:rsid w:val="00476921"/>
    <w:rsid w:val="004773CE"/>
    <w:rsid w:val="00477A11"/>
    <w:rsid w:val="00477CDA"/>
    <w:rsid w:val="00481347"/>
    <w:rsid w:val="0048235E"/>
    <w:rsid w:val="00486BBF"/>
    <w:rsid w:val="004873B6"/>
    <w:rsid w:val="00495340"/>
    <w:rsid w:val="00497A0B"/>
    <w:rsid w:val="004A088C"/>
    <w:rsid w:val="004A4D53"/>
    <w:rsid w:val="004A5361"/>
    <w:rsid w:val="004B396D"/>
    <w:rsid w:val="004B446D"/>
    <w:rsid w:val="004B60B8"/>
    <w:rsid w:val="004B633D"/>
    <w:rsid w:val="004B7EE5"/>
    <w:rsid w:val="004C2F22"/>
    <w:rsid w:val="004C6AFE"/>
    <w:rsid w:val="004C7FEA"/>
    <w:rsid w:val="004D0FBA"/>
    <w:rsid w:val="004D315F"/>
    <w:rsid w:val="004D374D"/>
    <w:rsid w:val="004D5FFD"/>
    <w:rsid w:val="004E0041"/>
    <w:rsid w:val="004E2263"/>
    <w:rsid w:val="004E352E"/>
    <w:rsid w:val="004F3D23"/>
    <w:rsid w:val="004F5D10"/>
    <w:rsid w:val="004F6877"/>
    <w:rsid w:val="00500DF3"/>
    <w:rsid w:val="00502B7B"/>
    <w:rsid w:val="005038A6"/>
    <w:rsid w:val="00504FDE"/>
    <w:rsid w:val="00517549"/>
    <w:rsid w:val="00520B1B"/>
    <w:rsid w:val="00525045"/>
    <w:rsid w:val="0052778E"/>
    <w:rsid w:val="00527D8F"/>
    <w:rsid w:val="005317AA"/>
    <w:rsid w:val="005327DF"/>
    <w:rsid w:val="005335E2"/>
    <w:rsid w:val="00533C76"/>
    <w:rsid w:val="005365F4"/>
    <w:rsid w:val="00541B93"/>
    <w:rsid w:val="00542B23"/>
    <w:rsid w:val="005437A9"/>
    <w:rsid w:val="0054707C"/>
    <w:rsid w:val="005521F7"/>
    <w:rsid w:val="0055735A"/>
    <w:rsid w:val="00557AAF"/>
    <w:rsid w:val="005603D6"/>
    <w:rsid w:val="0056094C"/>
    <w:rsid w:val="00561A14"/>
    <w:rsid w:val="00562F2F"/>
    <w:rsid w:val="00565630"/>
    <w:rsid w:val="005721A1"/>
    <w:rsid w:val="00575E84"/>
    <w:rsid w:val="00576787"/>
    <w:rsid w:val="005801F2"/>
    <w:rsid w:val="00580454"/>
    <w:rsid w:val="00581761"/>
    <w:rsid w:val="00586481"/>
    <w:rsid w:val="00587AB9"/>
    <w:rsid w:val="0059064A"/>
    <w:rsid w:val="0059162B"/>
    <w:rsid w:val="005917EE"/>
    <w:rsid w:val="00591B83"/>
    <w:rsid w:val="005938E4"/>
    <w:rsid w:val="00594BC3"/>
    <w:rsid w:val="005A0E94"/>
    <w:rsid w:val="005A0F46"/>
    <w:rsid w:val="005A1112"/>
    <w:rsid w:val="005A224D"/>
    <w:rsid w:val="005B551B"/>
    <w:rsid w:val="005B6F7F"/>
    <w:rsid w:val="005C2A3B"/>
    <w:rsid w:val="005C2C6D"/>
    <w:rsid w:val="005C3AD1"/>
    <w:rsid w:val="005C6500"/>
    <w:rsid w:val="005C74DE"/>
    <w:rsid w:val="005C7617"/>
    <w:rsid w:val="005D3A32"/>
    <w:rsid w:val="005D5AE9"/>
    <w:rsid w:val="005D74EA"/>
    <w:rsid w:val="005E2120"/>
    <w:rsid w:val="005E306F"/>
    <w:rsid w:val="005F0702"/>
    <w:rsid w:val="005F2C59"/>
    <w:rsid w:val="005F6BEC"/>
    <w:rsid w:val="00600E32"/>
    <w:rsid w:val="00606F03"/>
    <w:rsid w:val="006074D3"/>
    <w:rsid w:val="00613B4A"/>
    <w:rsid w:val="00615171"/>
    <w:rsid w:val="00615676"/>
    <w:rsid w:val="00615D92"/>
    <w:rsid w:val="00617A92"/>
    <w:rsid w:val="006276CB"/>
    <w:rsid w:val="0063001A"/>
    <w:rsid w:val="0063076B"/>
    <w:rsid w:val="00635347"/>
    <w:rsid w:val="0063747F"/>
    <w:rsid w:val="00637D74"/>
    <w:rsid w:val="006433B7"/>
    <w:rsid w:val="0064489B"/>
    <w:rsid w:val="006477D3"/>
    <w:rsid w:val="00647EDA"/>
    <w:rsid w:val="00651E84"/>
    <w:rsid w:val="00652FD6"/>
    <w:rsid w:val="00653D1D"/>
    <w:rsid w:val="00654B3C"/>
    <w:rsid w:val="0065669B"/>
    <w:rsid w:val="00660288"/>
    <w:rsid w:val="0066183E"/>
    <w:rsid w:val="00666AC7"/>
    <w:rsid w:val="006702B8"/>
    <w:rsid w:val="00674A56"/>
    <w:rsid w:val="00680536"/>
    <w:rsid w:val="00680C9A"/>
    <w:rsid w:val="00691473"/>
    <w:rsid w:val="00694042"/>
    <w:rsid w:val="006955BE"/>
    <w:rsid w:val="00697FF6"/>
    <w:rsid w:val="006A171A"/>
    <w:rsid w:val="006A3265"/>
    <w:rsid w:val="006A374E"/>
    <w:rsid w:val="006A4CBC"/>
    <w:rsid w:val="006A6F57"/>
    <w:rsid w:val="006A7FD7"/>
    <w:rsid w:val="006B1B30"/>
    <w:rsid w:val="006B2A0A"/>
    <w:rsid w:val="006B2A61"/>
    <w:rsid w:val="006B318E"/>
    <w:rsid w:val="006C0E39"/>
    <w:rsid w:val="006C4486"/>
    <w:rsid w:val="006C47E6"/>
    <w:rsid w:val="006C4EB5"/>
    <w:rsid w:val="006D595B"/>
    <w:rsid w:val="006D6315"/>
    <w:rsid w:val="006D6C76"/>
    <w:rsid w:val="006E1136"/>
    <w:rsid w:val="006E13C6"/>
    <w:rsid w:val="006E2154"/>
    <w:rsid w:val="006E51A1"/>
    <w:rsid w:val="006F3182"/>
    <w:rsid w:val="00701C54"/>
    <w:rsid w:val="0070344F"/>
    <w:rsid w:val="007052FE"/>
    <w:rsid w:val="007075F4"/>
    <w:rsid w:val="0071548C"/>
    <w:rsid w:val="00715D58"/>
    <w:rsid w:val="007227E0"/>
    <w:rsid w:val="007228AF"/>
    <w:rsid w:val="007251D9"/>
    <w:rsid w:val="007279F6"/>
    <w:rsid w:val="0073130D"/>
    <w:rsid w:val="0073676C"/>
    <w:rsid w:val="00740198"/>
    <w:rsid w:val="00741708"/>
    <w:rsid w:val="007440F1"/>
    <w:rsid w:val="0074476C"/>
    <w:rsid w:val="00744E0C"/>
    <w:rsid w:val="0074681A"/>
    <w:rsid w:val="00752DC8"/>
    <w:rsid w:val="00754534"/>
    <w:rsid w:val="007578BC"/>
    <w:rsid w:val="00761104"/>
    <w:rsid w:val="00765EBC"/>
    <w:rsid w:val="00770958"/>
    <w:rsid w:val="00782F23"/>
    <w:rsid w:val="007842AF"/>
    <w:rsid w:val="0078702E"/>
    <w:rsid w:val="00787BA6"/>
    <w:rsid w:val="00791B47"/>
    <w:rsid w:val="00795008"/>
    <w:rsid w:val="0079598A"/>
    <w:rsid w:val="007968A9"/>
    <w:rsid w:val="007A3B99"/>
    <w:rsid w:val="007A4791"/>
    <w:rsid w:val="007B1426"/>
    <w:rsid w:val="007B4280"/>
    <w:rsid w:val="007B5ED5"/>
    <w:rsid w:val="007B76EC"/>
    <w:rsid w:val="007C0A81"/>
    <w:rsid w:val="007C125B"/>
    <w:rsid w:val="007C3E49"/>
    <w:rsid w:val="007C7C04"/>
    <w:rsid w:val="007D0994"/>
    <w:rsid w:val="007D1627"/>
    <w:rsid w:val="007D3A4C"/>
    <w:rsid w:val="007D4E6B"/>
    <w:rsid w:val="007D6B34"/>
    <w:rsid w:val="007D6C70"/>
    <w:rsid w:val="007E2EAF"/>
    <w:rsid w:val="007E32F8"/>
    <w:rsid w:val="007E3FAE"/>
    <w:rsid w:val="007E5CA5"/>
    <w:rsid w:val="007E6982"/>
    <w:rsid w:val="007E6E3A"/>
    <w:rsid w:val="007F20DE"/>
    <w:rsid w:val="007F2E42"/>
    <w:rsid w:val="00800D78"/>
    <w:rsid w:val="00800FF4"/>
    <w:rsid w:val="008022DA"/>
    <w:rsid w:val="00802FFA"/>
    <w:rsid w:val="00805AA4"/>
    <w:rsid w:val="00811E63"/>
    <w:rsid w:val="00813386"/>
    <w:rsid w:val="0082043B"/>
    <w:rsid w:val="008238B5"/>
    <w:rsid w:val="00825826"/>
    <w:rsid w:val="008273CD"/>
    <w:rsid w:val="00827CD8"/>
    <w:rsid w:val="008339DD"/>
    <w:rsid w:val="0083511F"/>
    <w:rsid w:val="0083775F"/>
    <w:rsid w:val="00837BF1"/>
    <w:rsid w:val="00840F58"/>
    <w:rsid w:val="008413B5"/>
    <w:rsid w:val="0084506C"/>
    <w:rsid w:val="00846417"/>
    <w:rsid w:val="00854CCF"/>
    <w:rsid w:val="00856809"/>
    <w:rsid w:val="00861AE5"/>
    <w:rsid w:val="0086352B"/>
    <w:rsid w:val="00866F64"/>
    <w:rsid w:val="008715E7"/>
    <w:rsid w:val="00872AA2"/>
    <w:rsid w:val="00872E55"/>
    <w:rsid w:val="00873589"/>
    <w:rsid w:val="0087436E"/>
    <w:rsid w:val="00875A69"/>
    <w:rsid w:val="008820F2"/>
    <w:rsid w:val="00882323"/>
    <w:rsid w:val="00890407"/>
    <w:rsid w:val="008919DF"/>
    <w:rsid w:val="00892465"/>
    <w:rsid w:val="00892ED0"/>
    <w:rsid w:val="0089746F"/>
    <w:rsid w:val="00897ADA"/>
    <w:rsid w:val="008A14BD"/>
    <w:rsid w:val="008A30B4"/>
    <w:rsid w:val="008B0982"/>
    <w:rsid w:val="008B2BA1"/>
    <w:rsid w:val="008B2BEF"/>
    <w:rsid w:val="008B5C10"/>
    <w:rsid w:val="008B6AEB"/>
    <w:rsid w:val="008C4A6B"/>
    <w:rsid w:val="008C56D0"/>
    <w:rsid w:val="008C6939"/>
    <w:rsid w:val="008C71C1"/>
    <w:rsid w:val="008D0CF6"/>
    <w:rsid w:val="008D17EE"/>
    <w:rsid w:val="008D2F4D"/>
    <w:rsid w:val="008D5145"/>
    <w:rsid w:val="008D6798"/>
    <w:rsid w:val="008E2B38"/>
    <w:rsid w:val="008E3AFF"/>
    <w:rsid w:val="008E492C"/>
    <w:rsid w:val="008E4FB0"/>
    <w:rsid w:val="008E70A9"/>
    <w:rsid w:val="008E71D7"/>
    <w:rsid w:val="008F4480"/>
    <w:rsid w:val="008F6C10"/>
    <w:rsid w:val="008F7B7E"/>
    <w:rsid w:val="00900B31"/>
    <w:rsid w:val="00900C64"/>
    <w:rsid w:val="00903A14"/>
    <w:rsid w:val="00906E4A"/>
    <w:rsid w:val="009119FA"/>
    <w:rsid w:val="0091242B"/>
    <w:rsid w:val="009124D1"/>
    <w:rsid w:val="00914D66"/>
    <w:rsid w:val="00915008"/>
    <w:rsid w:val="009274C6"/>
    <w:rsid w:val="00927F90"/>
    <w:rsid w:val="00934839"/>
    <w:rsid w:val="00935442"/>
    <w:rsid w:val="009363BF"/>
    <w:rsid w:val="00941CF4"/>
    <w:rsid w:val="009453F3"/>
    <w:rsid w:val="00946230"/>
    <w:rsid w:val="00953690"/>
    <w:rsid w:val="00955415"/>
    <w:rsid w:val="00955A72"/>
    <w:rsid w:val="009564BE"/>
    <w:rsid w:val="00963224"/>
    <w:rsid w:val="00963F12"/>
    <w:rsid w:val="009646F7"/>
    <w:rsid w:val="00967082"/>
    <w:rsid w:val="00971257"/>
    <w:rsid w:val="00971D37"/>
    <w:rsid w:val="0097313D"/>
    <w:rsid w:val="0098033E"/>
    <w:rsid w:val="009821EE"/>
    <w:rsid w:val="009823C1"/>
    <w:rsid w:val="00983037"/>
    <w:rsid w:val="0098453A"/>
    <w:rsid w:val="00984E3F"/>
    <w:rsid w:val="00986C0C"/>
    <w:rsid w:val="009A458D"/>
    <w:rsid w:val="009A5A98"/>
    <w:rsid w:val="009A6666"/>
    <w:rsid w:val="009A7506"/>
    <w:rsid w:val="009A7693"/>
    <w:rsid w:val="009B285B"/>
    <w:rsid w:val="009B3758"/>
    <w:rsid w:val="009B4273"/>
    <w:rsid w:val="009B5051"/>
    <w:rsid w:val="009C0049"/>
    <w:rsid w:val="009C2E67"/>
    <w:rsid w:val="009C3F73"/>
    <w:rsid w:val="009D4A8C"/>
    <w:rsid w:val="009D5140"/>
    <w:rsid w:val="009D6A1C"/>
    <w:rsid w:val="009E0A65"/>
    <w:rsid w:val="009E17E7"/>
    <w:rsid w:val="009E1DD4"/>
    <w:rsid w:val="009E20E3"/>
    <w:rsid w:val="009E4E4E"/>
    <w:rsid w:val="009E5041"/>
    <w:rsid w:val="009E68D4"/>
    <w:rsid w:val="009E7906"/>
    <w:rsid w:val="009F124A"/>
    <w:rsid w:val="009F4EFB"/>
    <w:rsid w:val="009F6E00"/>
    <w:rsid w:val="00A01A40"/>
    <w:rsid w:val="00A0405A"/>
    <w:rsid w:val="00A0567E"/>
    <w:rsid w:val="00A105F9"/>
    <w:rsid w:val="00A1702C"/>
    <w:rsid w:val="00A2359B"/>
    <w:rsid w:val="00A24018"/>
    <w:rsid w:val="00A273AA"/>
    <w:rsid w:val="00A314C7"/>
    <w:rsid w:val="00A3755C"/>
    <w:rsid w:val="00A4148B"/>
    <w:rsid w:val="00A41546"/>
    <w:rsid w:val="00A4185C"/>
    <w:rsid w:val="00A422CE"/>
    <w:rsid w:val="00A4342C"/>
    <w:rsid w:val="00A43E6D"/>
    <w:rsid w:val="00A5225C"/>
    <w:rsid w:val="00A5345D"/>
    <w:rsid w:val="00A63E20"/>
    <w:rsid w:val="00A64785"/>
    <w:rsid w:val="00A670DE"/>
    <w:rsid w:val="00A710A8"/>
    <w:rsid w:val="00A724C3"/>
    <w:rsid w:val="00A807AE"/>
    <w:rsid w:val="00A96D78"/>
    <w:rsid w:val="00A96FD6"/>
    <w:rsid w:val="00AA3A06"/>
    <w:rsid w:val="00AA5A94"/>
    <w:rsid w:val="00AA7284"/>
    <w:rsid w:val="00AB238F"/>
    <w:rsid w:val="00AB2A8F"/>
    <w:rsid w:val="00AB2E52"/>
    <w:rsid w:val="00AB53D7"/>
    <w:rsid w:val="00AC045F"/>
    <w:rsid w:val="00AC0E46"/>
    <w:rsid w:val="00AC6C18"/>
    <w:rsid w:val="00AD5905"/>
    <w:rsid w:val="00AE01B2"/>
    <w:rsid w:val="00AE22C7"/>
    <w:rsid w:val="00AE7F87"/>
    <w:rsid w:val="00AF0241"/>
    <w:rsid w:val="00AF1017"/>
    <w:rsid w:val="00AF1419"/>
    <w:rsid w:val="00AF4339"/>
    <w:rsid w:val="00AF5C0F"/>
    <w:rsid w:val="00AF7AF4"/>
    <w:rsid w:val="00B02F60"/>
    <w:rsid w:val="00B0583A"/>
    <w:rsid w:val="00B11A51"/>
    <w:rsid w:val="00B160CE"/>
    <w:rsid w:val="00B34707"/>
    <w:rsid w:val="00B34E5D"/>
    <w:rsid w:val="00B3794A"/>
    <w:rsid w:val="00B411DA"/>
    <w:rsid w:val="00B46054"/>
    <w:rsid w:val="00B46B0F"/>
    <w:rsid w:val="00B474A0"/>
    <w:rsid w:val="00B51EA2"/>
    <w:rsid w:val="00B52544"/>
    <w:rsid w:val="00B61162"/>
    <w:rsid w:val="00B62568"/>
    <w:rsid w:val="00B642F0"/>
    <w:rsid w:val="00B64404"/>
    <w:rsid w:val="00B64CFF"/>
    <w:rsid w:val="00B73285"/>
    <w:rsid w:val="00B73619"/>
    <w:rsid w:val="00B73C8F"/>
    <w:rsid w:val="00B74475"/>
    <w:rsid w:val="00B747DC"/>
    <w:rsid w:val="00B8056B"/>
    <w:rsid w:val="00B854A1"/>
    <w:rsid w:val="00B864E0"/>
    <w:rsid w:val="00B86E11"/>
    <w:rsid w:val="00B86E81"/>
    <w:rsid w:val="00B91407"/>
    <w:rsid w:val="00B93AA4"/>
    <w:rsid w:val="00B97755"/>
    <w:rsid w:val="00B97E18"/>
    <w:rsid w:val="00BA3499"/>
    <w:rsid w:val="00BA6837"/>
    <w:rsid w:val="00BA683A"/>
    <w:rsid w:val="00BB1B52"/>
    <w:rsid w:val="00BB36EE"/>
    <w:rsid w:val="00BB4BF5"/>
    <w:rsid w:val="00BB76FB"/>
    <w:rsid w:val="00BB7BB9"/>
    <w:rsid w:val="00BC5EBE"/>
    <w:rsid w:val="00BC6C0B"/>
    <w:rsid w:val="00BC7AE1"/>
    <w:rsid w:val="00BD009B"/>
    <w:rsid w:val="00BD02E6"/>
    <w:rsid w:val="00BD2410"/>
    <w:rsid w:val="00BD6A16"/>
    <w:rsid w:val="00BD7631"/>
    <w:rsid w:val="00BE17F1"/>
    <w:rsid w:val="00BE355C"/>
    <w:rsid w:val="00BE4390"/>
    <w:rsid w:val="00BE6DBF"/>
    <w:rsid w:val="00BF07F9"/>
    <w:rsid w:val="00BF2E48"/>
    <w:rsid w:val="00BF3F06"/>
    <w:rsid w:val="00BF41B1"/>
    <w:rsid w:val="00BF5C0E"/>
    <w:rsid w:val="00BF6260"/>
    <w:rsid w:val="00C00884"/>
    <w:rsid w:val="00C0258B"/>
    <w:rsid w:val="00C11C78"/>
    <w:rsid w:val="00C14ABD"/>
    <w:rsid w:val="00C20C5E"/>
    <w:rsid w:val="00C21FC5"/>
    <w:rsid w:val="00C25AED"/>
    <w:rsid w:val="00C277DB"/>
    <w:rsid w:val="00C305BE"/>
    <w:rsid w:val="00C321F5"/>
    <w:rsid w:val="00C33B6A"/>
    <w:rsid w:val="00C377FE"/>
    <w:rsid w:val="00C43622"/>
    <w:rsid w:val="00C44041"/>
    <w:rsid w:val="00C46FAD"/>
    <w:rsid w:val="00C47E9E"/>
    <w:rsid w:val="00C50876"/>
    <w:rsid w:val="00C51455"/>
    <w:rsid w:val="00C51AB4"/>
    <w:rsid w:val="00C5507B"/>
    <w:rsid w:val="00C57D37"/>
    <w:rsid w:val="00C615FD"/>
    <w:rsid w:val="00C61E1E"/>
    <w:rsid w:val="00C626EB"/>
    <w:rsid w:val="00C659E5"/>
    <w:rsid w:val="00C7080D"/>
    <w:rsid w:val="00C70BC1"/>
    <w:rsid w:val="00C70DE6"/>
    <w:rsid w:val="00C76416"/>
    <w:rsid w:val="00C84DF2"/>
    <w:rsid w:val="00C90C22"/>
    <w:rsid w:val="00C90C3A"/>
    <w:rsid w:val="00C9132F"/>
    <w:rsid w:val="00C92D1C"/>
    <w:rsid w:val="00C95392"/>
    <w:rsid w:val="00C95C1E"/>
    <w:rsid w:val="00CA1943"/>
    <w:rsid w:val="00CA2196"/>
    <w:rsid w:val="00CA3305"/>
    <w:rsid w:val="00CA3B30"/>
    <w:rsid w:val="00CA5A7C"/>
    <w:rsid w:val="00CA759E"/>
    <w:rsid w:val="00CB0630"/>
    <w:rsid w:val="00CB17C2"/>
    <w:rsid w:val="00CB36B1"/>
    <w:rsid w:val="00CB4F1E"/>
    <w:rsid w:val="00CC0293"/>
    <w:rsid w:val="00CC2EA8"/>
    <w:rsid w:val="00CD453A"/>
    <w:rsid w:val="00CE1406"/>
    <w:rsid w:val="00CE6786"/>
    <w:rsid w:val="00CF32D7"/>
    <w:rsid w:val="00CF36B3"/>
    <w:rsid w:val="00CF576B"/>
    <w:rsid w:val="00CF64E0"/>
    <w:rsid w:val="00CF6809"/>
    <w:rsid w:val="00CF6841"/>
    <w:rsid w:val="00CF6E68"/>
    <w:rsid w:val="00CF7FF3"/>
    <w:rsid w:val="00D01B2D"/>
    <w:rsid w:val="00D04A11"/>
    <w:rsid w:val="00D067B2"/>
    <w:rsid w:val="00D11BAA"/>
    <w:rsid w:val="00D13DB5"/>
    <w:rsid w:val="00D1540C"/>
    <w:rsid w:val="00D158BB"/>
    <w:rsid w:val="00D16797"/>
    <w:rsid w:val="00D16A1E"/>
    <w:rsid w:val="00D17D57"/>
    <w:rsid w:val="00D201B5"/>
    <w:rsid w:val="00D3003D"/>
    <w:rsid w:val="00D30435"/>
    <w:rsid w:val="00D33E51"/>
    <w:rsid w:val="00D34951"/>
    <w:rsid w:val="00D41833"/>
    <w:rsid w:val="00D42F43"/>
    <w:rsid w:val="00D43DFF"/>
    <w:rsid w:val="00D62CB5"/>
    <w:rsid w:val="00D663E1"/>
    <w:rsid w:val="00D66425"/>
    <w:rsid w:val="00D66782"/>
    <w:rsid w:val="00D66BFB"/>
    <w:rsid w:val="00D707AD"/>
    <w:rsid w:val="00D7266E"/>
    <w:rsid w:val="00D778BB"/>
    <w:rsid w:val="00D77B82"/>
    <w:rsid w:val="00D8314E"/>
    <w:rsid w:val="00D8355E"/>
    <w:rsid w:val="00D8644D"/>
    <w:rsid w:val="00D939C1"/>
    <w:rsid w:val="00D93EB0"/>
    <w:rsid w:val="00D9409E"/>
    <w:rsid w:val="00D97AF8"/>
    <w:rsid w:val="00DA1439"/>
    <w:rsid w:val="00DA5918"/>
    <w:rsid w:val="00DA6E4C"/>
    <w:rsid w:val="00DA7FC0"/>
    <w:rsid w:val="00DB0460"/>
    <w:rsid w:val="00DB14FD"/>
    <w:rsid w:val="00DB5B53"/>
    <w:rsid w:val="00DB693C"/>
    <w:rsid w:val="00DB7799"/>
    <w:rsid w:val="00DB7B7D"/>
    <w:rsid w:val="00DC096C"/>
    <w:rsid w:val="00DC0B52"/>
    <w:rsid w:val="00DC17E3"/>
    <w:rsid w:val="00DC21BE"/>
    <w:rsid w:val="00DC4E02"/>
    <w:rsid w:val="00DC4F06"/>
    <w:rsid w:val="00DD7A34"/>
    <w:rsid w:val="00DF3047"/>
    <w:rsid w:val="00DF4B72"/>
    <w:rsid w:val="00DF4D26"/>
    <w:rsid w:val="00DF542F"/>
    <w:rsid w:val="00DF68D0"/>
    <w:rsid w:val="00DF7584"/>
    <w:rsid w:val="00DF7A80"/>
    <w:rsid w:val="00E00628"/>
    <w:rsid w:val="00E00885"/>
    <w:rsid w:val="00E01C6E"/>
    <w:rsid w:val="00E01C77"/>
    <w:rsid w:val="00E0429C"/>
    <w:rsid w:val="00E054F3"/>
    <w:rsid w:val="00E06DB6"/>
    <w:rsid w:val="00E07CA7"/>
    <w:rsid w:val="00E128D2"/>
    <w:rsid w:val="00E1330C"/>
    <w:rsid w:val="00E14305"/>
    <w:rsid w:val="00E14C4C"/>
    <w:rsid w:val="00E1770C"/>
    <w:rsid w:val="00E2263F"/>
    <w:rsid w:val="00E237CE"/>
    <w:rsid w:val="00E24622"/>
    <w:rsid w:val="00E25085"/>
    <w:rsid w:val="00E35C88"/>
    <w:rsid w:val="00E3794B"/>
    <w:rsid w:val="00E4337E"/>
    <w:rsid w:val="00E4346B"/>
    <w:rsid w:val="00E434B7"/>
    <w:rsid w:val="00E43872"/>
    <w:rsid w:val="00E43B55"/>
    <w:rsid w:val="00E44093"/>
    <w:rsid w:val="00E4572B"/>
    <w:rsid w:val="00E510F3"/>
    <w:rsid w:val="00E5235F"/>
    <w:rsid w:val="00E62AE7"/>
    <w:rsid w:val="00E7263D"/>
    <w:rsid w:val="00E728EF"/>
    <w:rsid w:val="00E74B10"/>
    <w:rsid w:val="00E81FF3"/>
    <w:rsid w:val="00E84DFF"/>
    <w:rsid w:val="00E8599B"/>
    <w:rsid w:val="00E87E88"/>
    <w:rsid w:val="00E906E7"/>
    <w:rsid w:val="00E90CFF"/>
    <w:rsid w:val="00E91EDA"/>
    <w:rsid w:val="00E934AC"/>
    <w:rsid w:val="00E94FF4"/>
    <w:rsid w:val="00E969F4"/>
    <w:rsid w:val="00E974C4"/>
    <w:rsid w:val="00EA4A46"/>
    <w:rsid w:val="00EA6044"/>
    <w:rsid w:val="00EA60EE"/>
    <w:rsid w:val="00EA6EE0"/>
    <w:rsid w:val="00EB3142"/>
    <w:rsid w:val="00EB3B98"/>
    <w:rsid w:val="00EB4D8C"/>
    <w:rsid w:val="00EB6C9D"/>
    <w:rsid w:val="00EB7897"/>
    <w:rsid w:val="00EC26C3"/>
    <w:rsid w:val="00ED60D7"/>
    <w:rsid w:val="00EF0E34"/>
    <w:rsid w:val="00EF12E9"/>
    <w:rsid w:val="00EF1DA4"/>
    <w:rsid w:val="00EF2AC4"/>
    <w:rsid w:val="00EF2C74"/>
    <w:rsid w:val="00EF4A6F"/>
    <w:rsid w:val="00EF5F11"/>
    <w:rsid w:val="00EF7A42"/>
    <w:rsid w:val="00F00158"/>
    <w:rsid w:val="00F029AA"/>
    <w:rsid w:val="00F03AD2"/>
    <w:rsid w:val="00F04FD4"/>
    <w:rsid w:val="00F05340"/>
    <w:rsid w:val="00F05AB5"/>
    <w:rsid w:val="00F064AB"/>
    <w:rsid w:val="00F14DC9"/>
    <w:rsid w:val="00F1662A"/>
    <w:rsid w:val="00F17D61"/>
    <w:rsid w:val="00F22A93"/>
    <w:rsid w:val="00F22F4E"/>
    <w:rsid w:val="00F241FD"/>
    <w:rsid w:val="00F2524A"/>
    <w:rsid w:val="00F278DF"/>
    <w:rsid w:val="00F30223"/>
    <w:rsid w:val="00F411A4"/>
    <w:rsid w:val="00F45EF1"/>
    <w:rsid w:val="00F46360"/>
    <w:rsid w:val="00F50A9E"/>
    <w:rsid w:val="00F52E89"/>
    <w:rsid w:val="00F559F1"/>
    <w:rsid w:val="00F61075"/>
    <w:rsid w:val="00F65D5E"/>
    <w:rsid w:val="00F677D3"/>
    <w:rsid w:val="00F73E16"/>
    <w:rsid w:val="00F746A4"/>
    <w:rsid w:val="00F82451"/>
    <w:rsid w:val="00F82B88"/>
    <w:rsid w:val="00F83FB7"/>
    <w:rsid w:val="00F852E9"/>
    <w:rsid w:val="00F86A4E"/>
    <w:rsid w:val="00F915C2"/>
    <w:rsid w:val="00F93B17"/>
    <w:rsid w:val="00F93DC1"/>
    <w:rsid w:val="00FA377D"/>
    <w:rsid w:val="00FA3D17"/>
    <w:rsid w:val="00FA4DFA"/>
    <w:rsid w:val="00FA62C7"/>
    <w:rsid w:val="00FA6A1F"/>
    <w:rsid w:val="00FB5AFF"/>
    <w:rsid w:val="00FB6D76"/>
    <w:rsid w:val="00FB7872"/>
    <w:rsid w:val="00FC3152"/>
    <w:rsid w:val="00FC3B52"/>
    <w:rsid w:val="00FC4DA8"/>
    <w:rsid w:val="00FC5D45"/>
    <w:rsid w:val="00FC79A0"/>
    <w:rsid w:val="00FD0B3E"/>
    <w:rsid w:val="00FD1B14"/>
    <w:rsid w:val="00FD4AC4"/>
    <w:rsid w:val="00FD75A9"/>
    <w:rsid w:val="00FE1B11"/>
    <w:rsid w:val="00FE1B15"/>
    <w:rsid w:val="00FE347E"/>
    <w:rsid w:val="00FE5A88"/>
    <w:rsid w:val="00FF062E"/>
    <w:rsid w:val="00FF18C1"/>
    <w:rsid w:val="00FF7D53"/>
    <w:rsid w:val="00FF7E90"/>
    <w:rsid w:val="016A359F"/>
    <w:rsid w:val="096A734B"/>
    <w:rsid w:val="0FA1F87A"/>
    <w:rsid w:val="21C1A96B"/>
    <w:rsid w:val="27205BB6"/>
    <w:rsid w:val="383D34E4"/>
    <w:rsid w:val="4493B6A5"/>
    <w:rsid w:val="53936E55"/>
    <w:rsid w:val="56767AF2"/>
    <w:rsid w:val="5A16099E"/>
    <w:rsid w:val="67BB84CF"/>
    <w:rsid w:val="756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7FF83193"/>
  <w15:chartTrackingRefBased/>
  <w15:docId w15:val="{23806D5F-9009-4656-834A-0B73DAA8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5F4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7075F4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7075F4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7075F4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7075F4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7075F4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7075F4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7075F4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075F4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075F4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75F4"/>
    <w:pPr>
      <w:spacing w:before="60" w:after="60"/>
      <w:jc w:val="both"/>
    </w:pPr>
  </w:style>
  <w:style w:type="paragraph" w:customStyle="1" w:styleId="LEGALREF">
    <w:name w:val="LEGAL REF"/>
    <w:basedOn w:val="Normal"/>
    <w:rsid w:val="007075F4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7075F4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7075F4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7075F4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7075F4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7075F4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7075F4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link w:val="FootnoteIndentChar"/>
    <w:rsid w:val="007075F4"/>
    <w:pPr>
      <w:ind w:left="720" w:right="720"/>
    </w:pPr>
  </w:style>
  <w:style w:type="paragraph" w:customStyle="1" w:styleId="FootnoteNumberedIndent">
    <w:name w:val="Footnote Numbered Indent"/>
    <w:basedOn w:val="FootnoteText"/>
    <w:rsid w:val="007075F4"/>
    <w:pPr>
      <w:ind w:left="1080" w:hanging="360"/>
    </w:pPr>
  </w:style>
  <w:style w:type="paragraph" w:customStyle="1" w:styleId="FootnoteQuote">
    <w:name w:val="Footnote Quote"/>
    <w:basedOn w:val="FootnoteText"/>
    <w:rsid w:val="007075F4"/>
    <w:pPr>
      <w:ind w:left="1080" w:right="1080" w:firstLine="0"/>
    </w:pPr>
  </w:style>
  <w:style w:type="character" w:styleId="FootnoteReference">
    <w:name w:val="footnote reference"/>
    <w:rsid w:val="007075F4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basedOn w:val="DefaultParagraphFont"/>
    <w:rsid w:val="007075F4"/>
    <w:rPr>
      <w:vanish/>
      <w:vertAlign w:val="baseline"/>
    </w:rPr>
  </w:style>
  <w:style w:type="paragraph" w:styleId="List">
    <w:name w:val="List"/>
    <w:basedOn w:val="Normal"/>
    <w:rsid w:val="007075F4"/>
    <w:pPr>
      <w:ind w:left="360" w:hanging="360"/>
      <w:jc w:val="both"/>
    </w:pPr>
  </w:style>
  <w:style w:type="paragraph" w:styleId="List2">
    <w:name w:val="List 2"/>
    <w:basedOn w:val="Normal"/>
    <w:rsid w:val="007075F4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600E32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7075F4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7075F4"/>
    <w:pPr>
      <w:ind w:left="360" w:hanging="360"/>
      <w:jc w:val="both"/>
    </w:pPr>
  </w:style>
  <w:style w:type="paragraph" w:styleId="ListBullet2">
    <w:name w:val="List Bullet 2"/>
    <w:basedOn w:val="Normal"/>
    <w:rsid w:val="007075F4"/>
    <w:pPr>
      <w:ind w:left="720" w:hanging="360"/>
      <w:jc w:val="both"/>
    </w:pPr>
  </w:style>
  <w:style w:type="paragraph" w:styleId="ListBullet3">
    <w:name w:val="List Bullet 3"/>
    <w:basedOn w:val="Normal"/>
    <w:rsid w:val="007075F4"/>
    <w:pPr>
      <w:ind w:left="1080" w:hanging="360"/>
      <w:jc w:val="both"/>
    </w:pPr>
  </w:style>
  <w:style w:type="paragraph" w:styleId="ListBullet4">
    <w:name w:val="List Bullet 4"/>
    <w:basedOn w:val="Normal"/>
    <w:rsid w:val="007075F4"/>
    <w:pPr>
      <w:ind w:left="1440" w:hanging="360"/>
      <w:jc w:val="both"/>
    </w:pPr>
  </w:style>
  <w:style w:type="paragraph" w:styleId="ListNumber">
    <w:name w:val="List Number"/>
    <w:basedOn w:val="Normal"/>
    <w:rsid w:val="007075F4"/>
    <w:pPr>
      <w:ind w:left="360" w:hanging="360"/>
      <w:jc w:val="both"/>
    </w:pPr>
  </w:style>
  <w:style w:type="paragraph" w:styleId="ListNumber2">
    <w:name w:val="List Number 2"/>
    <w:basedOn w:val="Normal"/>
    <w:rsid w:val="007075F4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7075F4"/>
    <w:pPr>
      <w:spacing w:before="60" w:after="60"/>
    </w:pPr>
  </w:style>
  <w:style w:type="paragraph" w:customStyle="1" w:styleId="SUBHEADING">
    <w:name w:val="SUBHEADING"/>
    <w:basedOn w:val="Normal"/>
    <w:next w:val="BodyText"/>
    <w:rsid w:val="007075F4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7075F4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7075F4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7075F4"/>
    <w:pPr>
      <w:ind w:left="2160"/>
    </w:pPr>
  </w:style>
  <w:style w:type="paragraph" w:customStyle="1" w:styleId="TOCHeading2">
    <w:name w:val="TOC Heading 2"/>
    <w:basedOn w:val="TOCHeading"/>
    <w:rsid w:val="00600E32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7075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F4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rsid w:val="007075F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075F4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7075F4"/>
    <w:pPr>
      <w:ind w:left="1080" w:hanging="360"/>
      <w:jc w:val="both"/>
    </w:pPr>
  </w:style>
  <w:style w:type="paragraph" w:styleId="NormalIndent">
    <w:name w:val="Normal Indent"/>
    <w:basedOn w:val="Normal"/>
    <w:rsid w:val="007075F4"/>
    <w:pPr>
      <w:ind w:left="720"/>
    </w:pPr>
  </w:style>
  <w:style w:type="paragraph" w:styleId="List3">
    <w:name w:val="List 3"/>
    <w:basedOn w:val="Normal"/>
    <w:rsid w:val="007075F4"/>
    <w:pPr>
      <w:ind w:left="1080" w:hanging="360"/>
      <w:jc w:val="both"/>
    </w:pPr>
  </w:style>
  <w:style w:type="paragraph" w:styleId="List4">
    <w:name w:val="List 4"/>
    <w:basedOn w:val="Normal"/>
    <w:rsid w:val="007075F4"/>
    <w:pPr>
      <w:ind w:left="1440" w:hanging="360"/>
      <w:jc w:val="both"/>
    </w:pPr>
  </w:style>
  <w:style w:type="paragraph" w:styleId="MessageHeader">
    <w:name w:val="Message Header"/>
    <w:basedOn w:val="Normal"/>
    <w:rsid w:val="00707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2">
    <w:name w:val="List Continue 2"/>
    <w:basedOn w:val="Normal"/>
    <w:rsid w:val="007075F4"/>
    <w:pPr>
      <w:spacing w:after="120"/>
      <w:ind w:left="720"/>
      <w:jc w:val="both"/>
    </w:pPr>
  </w:style>
  <w:style w:type="paragraph" w:styleId="Closing">
    <w:name w:val="Closing"/>
    <w:basedOn w:val="Normal"/>
    <w:rsid w:val="007075F4"/>
    <w:pPr>
      <w:ind w:left="4320"/>
    </w:pPr>
  </w:style>
  <w:style w:type="paragraph" w:styleId="Signature">
    <w:name w:val="Signature"/>
    <w:basedOn w:val="Normal"/>
    <w:rsid w:val="007075F4"/>
    <w:pPr>
      <w:ind w:left="4320"/>
    </w:pPr>
  </w:style>
  <w:style w:type="paragraph" w:styleId="Salutation">
    <w:name w:val="Salutation"/>
    <w:basedOn w:val="Normal"/>
    <w:rsid w:val="007075F4"/>
  </w:style>
  <w:style w:type="paragraph" w:styleId="ListContinue">
    <w:name w:val="List Continue"/>
    <w:basedOn w:val="Normal"/>
    <w:rsid w:val="007075F4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7075F4"/>
  </w:style>
  <w:style w:type="paragraph" w:styleId="TOC1">
    <w:name w:val="toc 1"/>
    <w:basedOn w:val="Normal"/>
    <w:next w:val="Normal"/>
    <w:semiHidden/>
    <w:rsid w:val="007075F4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7075F4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semiHidden/>
    <w:rsid w:val="007075F4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rsid w:val="007075F4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rsid w:val="007075F4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rsid w:val="007075F4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rsid w:val="007075F4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rsid w:val="007075F4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rsid w:val="007075F4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rsid w:val="007075F4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7075F4"/>
    <w:rPr>
      <w:u w:val="single"/>
    </w:rPr>
  </w:style>
  <w:style w:type="paragraph" w:styleId="List5">
    <w:name w:val="List 5"/>
    <w:basedOn w:val="Normal"/>
    <w:rsid w:val="007075F4"/>
    <w:pPr>
      <w:ind w:left="1800" w:hanging="360"/>
      <w:jc w:val="both"/>
    </w:pPr>
  </w:style>
  <w:style w:type="paragraph" w:styleId="ListBullet5">
    <w:name w:val="List Bullet 5"/>
    <w:basedOn w:val="Normal"/>
    <w:rsid w:val="007075F4"/>
    <w:pPr>
      <w:ind w:left="1800" w:hanging="360"/>
      <w:jc w:val="both"/>
    </w:pPr>
  </w:style>
  <w:style w:type="paragraph" w:styleId="ListContinue3">
    <w:name w:val="List Continue 3"/>
    <w:basedOn w:val="Normal"/>
    <w:rsid w:val="007075F4"/>
    <w:pPr>
      <w:spacing w:after="120"/>
      <w:ind w:left="1080"/>
      <w:jc w:val="both"/>
    </w:pPr>
  </w:style>
  <w:style w:type="paragraph" w:styleId="ListContinue4">
    <w:name w:val="List Continue 4"/>
    <w:basedOn w:val="Normal"/>
    <w:rsid w:val="007075F4"/>
    <w:pPr>
      <w:spacing w:after="120"/>
      <w:ind w:left="1440"/>
      <w:jc w:val="both"/>
    </w:pPr>
  </w:style>
  <w:style w:type="paragraph" w:styleId="ListContinue5">
    <w:name w:val="List Continue 5"/>
    <w:basedOn w:val="Normal"/>
    <w:rsid w:val="007075F4"/>
    <w:pPr>
      <w:spacing w:after="120"/>
      <w:ind w:left="1800"/>
      <w:jc w:val="both"/>
    </w:pPr>
  </w:style>
  <w:style w:type="paragraph" w:styleId="ListNumber4">
    <w:name w:val="List Number 4"/>
    <w:basedOn w:val="Normal"/>
    <w:rsid w:val="007075F4"/>
    <w:pPr>
      <w:ind w:left="1440" w:hanging="360"/>
      <w:jc w:val="both"/>
    </w:pPr>
  </w:style>
  <w:style w:type="paragraph" w:styleId="ListNumber5">
    <w:name w:val="List Number 5"/>
    <w:basedOn w:val="Normal"/>
    <w:rsid w:val="007075F4"/>
    <w:pPr>
      <w:ind w:left="1800" w:hanging="360"/>
      <w:jc w:val="both"/>
    </w:pPr>
  </w:style>
  <w:style w:type="paragraph" w:customStyle="1" w:styleId="CBA">
    <w:name w:val="CBA"/>
    <w:basedOn w:val="BodyText"/>
    <w:rsid w:val="00600E32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600E32"/>
  </w:style>
  <w:style w:type="paragraph" w:styleId="BlockText">
    <w:name w:val="Block Text"/>
    <w:basedOn w:val="Normal"/>
    <w:rsid w:val="00600E32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600E32"/>
    <w:pPr>
      <w:jc w:val="center"/>
    </w:pPr>
    <w:rPr>
      <w:i/>
    </w:rPr>
  </w:style>
  <w:style w:type="table" w:styleId="TableGrid">
    <w:name w:val="Table Grid"/>
    <w:basedOn w:val="TableNormal"/>
    <w:rsid w:val="0075453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79BF"/>
    <w:rPr>
      <w:color w:val="0000FF"/>
      <w:u w:val="single"/>
    </w:rPr>
  </w:style>
  <w:style w:type="character" w:customStyle="1" w:styleId="FootnoteTextChar">
    <w:name w:val="Footnote Text Char"/>
    <w:link w:val="FootnoteText"/>
    <w:rsid w:val="001D5908"/>
    <w:rPr>
      <w:kern w:val="28"/>
      <w:sz w:val="18"/>
    </w:rPr>
  </w:style>
  <w:style w:type="character" w:customStyle="1" w:styleId="FootnoteIndentChar">
    <w:name w:val="Footnote Indent Char"/>
    <w:basedOn w:val="FootnoteTextChar"/>
    <w:link w:val="FootnoteIndent"/>
    <w:rsid w:val="00007050"/>
    <w:rPr>
      <w:kern w:val="28"/>
      <w:sz w:val="18"/>
    </w:rPr>
  </w:style>
  <w:style w:type="character" w:styleId="FollowedHyperlink">
    <w:name w:val="FollowedHyperlink"/>
    <w:rsid w:val="0044652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77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767B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rsid w:val="003776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67B"/>
    <w:rPr>
      <w:sz w:val="20"/>
    </w:rPr>
  </w:style>
  <w:style w:type="character" w:customStyle="1" w:styleId="CommentTextChar">
    <w:name w:val="Comment Text Char"/>
    <w:link w:val="CommentText"/>
    <w:rsid w:val="0037767B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37767B"/>
    <w:rPr>
      <w:b/>
      <w:bCs/>
    </w:rPr>
  </w:style>
  <w:style w:type="character" w:customStyle="1" w:styleId="CommentSubjectChar">
    <w:name w:val="Comment Subject Char"/>
    <w:link w:val="CommentSubject"/>
    <w:rsid w:val="0037767B"/>
    <w:rPr>
      <w:b/>
      <w:bCs/>
      <w:kern w:val="28"/>
    </w:rPr>
  </w:style>
  <w:style w:type="paragraph" w:customStyle="1" w:styleId="Default">
    <w:name w:val="Default"/>
    <w:rsid w:val="005F6B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FootnoteReference">
    <w:name w:val="Style Footnote Reference +"/>
    <w:basedOn w:val="FootnoteReference"/>
    <w:rsid w:val="00431DC0"/>
    <w:rPr>
      <w:rFonts w:ascii="Times New Roman" w:hAnsi="Times New Roman"/>
      <w:b/>
      <w:bCs/>
      <w:spacing w:val="0"/>
      <w:position w:val="2"/>
      <w:sz w:val="18"/>
      <w:vertAlign w:val="baseline"/>
    </w:rPr>
  </w:style>
  <w:style w:type="character" w:customStyle="1" w:styleId="StyleFootnoteReference1">
    <w:name w:val="Style Footnote Reference +1"/>
    <w:basedOn w:val="FootnoteReference"/>
    <w:rsid w:val="0014375C"/>
    <w:rPr>
      <w:rFonts w:ascii="Times New Roman" w:hAnsi="Times New Roman"/>
      <w:b/>
      <w:bCs/>
      <w:position w:val="2"/>
      <w:sz w:val="18"/>
      <w:vertAlign w:val="baseline"/>
    </w:rPr>
  </w:style>
  <w:style w:type="paragraph" w:styleId="Revision">
    <w:name w:val="Revision"/>
    <w:hidden/>
    <w:uiPriority w:val="99"/>
    <w:semiHidden/>
    <w:rsid w:val="004202EA"/>
    <w:rPr>
      <w:kern w:val="28"/>
      <w:sz w:val="22"/>
    </w:rPr>
  </w:style>
  <w:style w:type="paragraph" w:styleId="NormalWeb">
    <w:name w:val="Normal (Web)"/>
    <w:basedOn w:val="Normal"/>
    <w:uiPriority w:val="99"/>
    <w:unhideWhenUsed/>
    <w:rsid w:val="004202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0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3c5cd1a444cd42cb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E295-2D77-4A0E-970D-34E7F68F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4</TotalTime>
  <Pages>5</Pages>
  <Words>1720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3</cp:revision>
  <cp:lastPrinted>2023-03-15T14:45:00Z</cp:lastPrinted>
  <dcterms:created xsi:type="dcterms:W3CDTF">2023-03-10T16:41:00Z</dcterms:created>
  <dcterms:modified xsi:type="dcterms:W3CDTF">2023-03-15T14:45:00Z</dcterms:modified>
</cp:coreProperties>
</file>