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FA67" w14:textId="77777777" w:rsidR="00F4641F" w:rsidRPr="00352A9F" w:rsidRDefault="00F4641F" w:rsidP="00F4641F">
      <w:pPr>
        <w:pStyle w:val="Header"/>
        <w:pBdr>
          <w:bottom w:val="single" w:sz="4" w:space="1" w:color="auto"/>
        </w:pBdr>
        <w:tabs>
          <w:tab w:val="clear" w:pos="4320"/>
          <w:tab w:val="clear" w:pos="8640"/>
          <w:tab w:val="right" w:pos="9000"/>
        </w:tabs>
      </w:pPr>
      <w:bookmarkStart w:id="0" w:name="_GoBack"/>
      <w:bookmarkEnd w:id="0"/>
      <w:r>
        <w:t>October 2022</w:t>
      </w:r>
      <w:r w:rsidRPr="00352A9F">
        <w:tab/>
      </w:r>
      <w:r>
        <w:t>4:190-AP2</w:t>
      </w:r>
    </w:p>
    <w:p w14:paraId="0F4D3C74" w14:textId="77777777" w:rsidR="00F4641F" w:rsidRPr="00352A9F" w:rsidRDefault="00F4641F" w:rsidP="00F4641F">
      <w:pPr>
        <w:tabs>
          <w:tab w:val="right" w:pos="9000"/>
        </w:tabs>
      </w:pPr>
    </w:p>
    <w:p w14:paraId="2114EB5C" w14:textId="77777777" w:rsidR="00F4641F" w:rsidRPr="008C1FFC" w:rsidRDefault="00F4641F" w:rsidP="00F4641F">
      <w:pPr>
        <w:pStyle w:val="Heading1"/>
      </w:pPr>
      <w:r w:rsidRPr="008C1FFC">
        <w:t>Operational Services</w:t>
      </w:r>
    </w:p>
    <w:p w14:paraId="3A95EB42" w14:textId="77777777" w:rsidR="00F4641F" w:rsidRPr="00352A9F" w:rsidRDefault="00F4641F" w:rsidP="00F4641F">
      <w:pPr>
        <w:pStyle w:val="Heading2"/>
        <w:rPr>
          <w:u w:val="none"/>
        </w:rPr>
      </w:pPr>
      <w:r>
        <w:t>Administrative Procedure</w:t>
      </w:r>
      <w:r w:rsidRPr="00352A9F">
        <w:t xml:space="preserve"> </w:t>
      </w:r>
      <w:r>
        <w:t>-</w:t>
      </w:r>
      <w:r w:rsidRPr="00352A9F">
        <w:t xml:space="preserve"> </w:t>
      </w:r>
      <w:r>
        <w:t xml:space="preserve">Threat </w:t>
      </w:r>
      <w:r w:rsidRPr="008C1FFC">
        <w:t>Assessment</w:t>
      </w:r>
      <w:r>
        <w:t xml:space="preserve"> Team (TAT)</w:t>
      </w:r>
      <w:r w:rsidRPr="00352A9F">
        <w:rPr>
          <w:u w:val="none"/>
        </w:rPr>
        <w:t xml:space="preserve"> </w:t>
      </w:r>
    </w:p>
    <w:p w14:paraId="246F1DB7" w14:textId="77777777" w:rsidR="00F4641F" w:rsidRPr="00A74B49" w:rsidRDefault="00F4641F" w:rsidP="00F4641F">
      <w:pPr>
        <w:pStyle w:val="BodyText"/>
      </w:pPr>
      <w:r>
        <w:t>This procedure implements T</w:t>
      </w:r>
      <w:r w:rsidRPr="009E7D4E">
        <w:t xml:space="preserve">hreat </w:t>
      </w:r>
      <w:r>
        <w:t>A</w:t>
      </w:r>
      <w:r w:rsidRPr="009E7D4E">
        <w:t xml:space="preserve">ssessment </w:t>
      </w:r>
      <w:r>
        <w:t>Teams (TATs). TAT members are professional educators, mental health professionals, law enforcement professionals, and professionals from other disciplines as necessary who are trained in behavioral threat assessment.</w:t>
      </w:r>
      <w:r w:rsidRPr="002564E2">
        <w:rPr>
          <w:rStyle w:val="Hyperlink"/>
        </w:rPr>
        <w:t xml:space="preserve"> </w:t>
      </w:r>
      <w:r>
        <w:rPr>
          <w:rStyle w:val="Hyperlink"/>
        </w:rPr>
        <w:t xml:space="preserve">See p. 3 of 4:190-AP1, </w:t>
      </w:r>
      <w:r>
        <w:rPr>
          <w:rStyle w:val="Hyperlink"/>
          <w:i/>
        </w:rPr>
        <w:t>Targeted School Violence Prevention Program</w:t>
      </w:r>
      <w:r>
        <w:rPr>
          <w:rStyle w:val="Hyperlink"/>
        </w:rPr>
        <w:t>, for authority encouraging the establishment of TATs.</w:t>
      </w:r>
    </w:p>
    <w:p w14:paraId="55D3CE0B" w14:textId="77777777" w:rsidR="00F4641F" w:rsidRDefault="00F4641F" w:rsidP="00F4641F">
      <w:pPr>
        <w:pStyle w:val="BodyText"/>
      </w:pPr>
      <w:r>
        <w:t xml:space="preserve">TATs function at the Building level, taking direction from the District-level School Violence Prevention Team. They </w:t>
      </w:r>
      <w:r w:rsidRPr="00A459B6">
        <w:t xml:space="preserve">address potential or developing threatening behavior exhibited not only by students, but from a broad range of individuals </w:t>
      </w:r>
      <w:r>
        <w:t xml:space="preserve">affecting the District environment, </w:t>
      </w:r>
      <w:r w:rsidRPr="00A459B6">
        <w:t>including:</w:t>
      </w:r>
      <w:r>
        <w:t xml:space="preserve"> </w:t>
      </w:r>
    </w:p>
    <w:p w14:paraId="399470A9" w14:textId="77777777" w:rsidR="00F4641F" w:rsidRDefault="00F4641F" w:rsidP="00F4641F">
      <w:pPr>
        <w:pStyle w:val="BodyText"/>
        <w:numPr>
          <w:ilvl w:val="0"/>
          <w:numId w:val="10"/>
        </w:numPr>
        <w:spacing w:before="0" w:after="0"/>
      </w:pPr>
      <w:r>
        <w:t>Students: current and former (and potentially prospective)</w:t>
      </w:r>
    </w:p>
    <w:p w14:paraId="0EB2D61E" w14:textId="77777777" w:rsidR="00F4641F" w:rsidRDefault="00F4641F" w:rsidP="00F4641F">
      <w:pPr>
        <w:pStyle w:val="BodyText"/>
        <w:numPr>
          <w:ilvl w:val="0"/>
          <w:numId w:val="10"/>
        </w:numPr>
        <w:spacing w:before="0" w:after="0"/>
      </w:pPr>
      <w:r>
        <w:t>Employees: current and former (and potentially prospective)</w:t>
      </w:r>
    </w:p>
    <w:p w14:paraId="7DCD04C0" w14:textId="77777777" w:rsidR="00F4641F" w:rsidRDefault="00F4641F" w:rsidP="00F4641F">
      <w:pPr>
        <w:pStyle w:val="BodyText"/>
        <w:numPr>
          <w:ilvl w:val="0"/>
          <w:numId w:val="10"/>
        </w:numPr>
        <w:spacing w:before="0" w:after="0"/>
      </w:pPr>
      <w:r>
        <w:t>Parents/guardians of students</w:t>
      </w:r>
    </w:p>
    <w:p w14:paraId="3D3C415F" w14:textId="77777777" w:rsidR="00F4641F" w:rsidRDefault="00F4641F" w:rsidP="00F4641F">
      <w:pPr>
        <w:pStyle w:val="BodyText"/>
        <w:numPr>
          <w:ilvl w:val="0"/>
          <w:numId w:val="10"/>
        </w:numPr>
        <w:spacing w:before="0" w:after="0"/>
      </w:pPr>
      <w:r>
        <w:t>Persons who are (or have been) in relationships with staff or students</w:t>
      </w:r>
    </w:p>
    <w:p w14:paraId="4BA4AAA9" w14:textId="77777777" w:rsidR="00F4641F" w:rsidRDefault="00F4641F" w:rsidP="00F4641F">
      <w:pPr>
        <w:pStyle w:val="BodyText"/>
        <w:numPr>
          <w:ilvl w:val="0"/>
          <w:numId w:val="10"/>
        </w:numPr>
        <w:spacing w:before="0" w:after="0"/>
      </w:pPr>
      <w:r>
        <w:t>Contractors, vendors, or other visitors</w:t>
      </w:r>
    </w:p>
    <w:p w14:paraId="0733E45F" w14:textId="77777777" w:rsidR="00F4641F" w:rsidRDefault="00F4641F" w:rsidP="00F4641F">
      <w:pPr>
        <w:pStyle w:val="BodyText"/>
        <w:numPr>
          <w:ilvl w:val="0"/>
          <w:numId w:val="10"/>
        </w:numPr>
        <w:spacing w:before="0" w:after="0"/>
      </w:pPr>
      <w:r>
        <w:t>Unaffiliated persons</w:t>
      </w:r>
    </w:p>
    <w:p w14:paraId="6CCCD538" w14:textId="77777777" w:rsidR="00F4641F" w:rsidRDefault="00F4641F" w:rsidP="00F4641F">
      <w:pPr>
        <w:pStyle w:val="BodyText"/>
      </w:pPr>
      <w:r>
        <w:t xml:space="preserve">Customize this procedure to each TAT’s building-specific needs, and use it in conjunction with 4:190-AP1, </w:t>
      </w:r>
      <w:r>
        <w:rPr>
          <w:i/>
        </w:rPr>
        <w:t>Targeted School Violence Prevention Program</w:t>
      </w:r>
      <w:r>
        <w:t xml:space="preserve">; 4:190-AP2, E1, </w:t>
      </w:r>
      <w:r>
        <w:rPr>
          <w:i/>
        </w:rPr>
        <w:t>Principles of Threat Assessment</w:t>
      </w:r>
      <w:r>
        <w:t xml:space="preserve">; 4:190-AP2, E2, </w:t>
      </w:r>
      <w:r>
        <w:rPr>
          <w:i/>
        </w:rPr>
        <w:t>Threat Assessment Documentation</w:t>
      </w:r>
      <w:r>
        <w:t xml:space="preserve">; 4:190-AP2, E3, </w:t>
      </w:r>
      <w:r>
        <w:rPr>
          <w:i/>
        </w:rPr>
        <w:t>Threat Assessment Key Areas and Questions; Examples</w:t>
      </w:r>
      <w:r>
        <w:t xml:space="preserve">; 4:190-AP2, E4, </w:t>
      </w:r>
      <w:r>
        <w:rPr>
          <w:i/>
        </w:rPr>
        <w:t>Responding to Types of Threats</w:t>
      </w:r>
      <w:r>
        <w:t xml:space="preserve">; and 4:190-AP2, E5, </w:t>
      </w:r>
      <w:r>
        <w:rPr>
          <w:i/>
        </w:rPr>
        <w:t>Threat Assessment Case Management Strategies</w:t>
      </w:r>
      <w:r>
        <w:t>. This procedure contains five sections as follows:</w:t>
      </w:r>
    </w:p>
    <w:p w14:paraId="091CB4D7" w14:textId="77777777" w:rsidR="00F4641F" w:rsidRDefault="00F4641F" w:rsidP="00F4641F">
      <w:pPr>
        <w:pStyle w:val="LISTNUMBERDOUBLE"/>
        <w:numPr>
          <w:ilvl w:val="0"/>
          <w:numId w:val="19"/>
        </w:numPr>
      </w:pPr>
      <w:r>
        <w:t>Glossary of Terms</w:t>
      </w:r>
    </w:p>
    <w:p w14:paraId="2D525A5F" w14:textId="77777777" w:rsidR="00F4641F" w:rsidRDefault="00F4641F" w:rsidP="00F4641F">
      <w:pPr>
        <w:pStyle w:val="LISTNUMBERDOUBLE"/>
        <w:numPr>
          <w:ilvl w:val="0"/>
          <w:numId w:val="19"/>
        </w:numPr>
      </w:pPr>
      <w:r>
        <w:t>TAT Formation, Development, and Responsibilities</w:t>
      </w:r>
    </w:p>
    <w:p w14:paraId="4B61C62D" w14:textId="77777777" w:rsidR="00F4641F" w:rsidRDefault="00F4641F" w:rsidP="00F4641F">
      <w:pPr>
        <w:pStyle w:val="LISTNUMBERDOUBLE"/>
        <w:numPr>
          <w:ilvl w:val="0"/>
          <w:numId w:val="19"/>
        </w:numPr>
      </w:pPr>
      <w:r>
        <w:t>Assessing and Classifying Threats</w:t>
      </w:r>
    </w:p>
    <w:p w14:paraId="00FC9A1F" w14:textId="77777777" w:rsidR="00F4641F" w:rsidRDefault="00F4641F" w:rsidP="00F4641F">
      <w:pPr>
        <w:pStyle w:val="LISTNUMBERDOUBLE"/>
        <w:numPr>
          <w:ilvl w:val="0"/>
          <w:numId w:val="19"/>
        </w:numPr>
      </w:pPr>
      <w:r>
        <w:t>Responding to and Managing Threats</w:t>
      </w:r>
    </w:p>
    <w:p w14:paraId="75B14EB5" w14:textId="77777777" w:rsidR="00F4641F" w:rsidRDefault="00F4641F" w:rsidP="00F4641F">
      <w:pPr>
        <w:pStyle w:val="LISTNUMBERDOUBLE"/>
        <w:numPr>
          <w:ilvl w:val="0"/>
          <w:numId w:val="19"/>
        </w:numPr>
      </w:pPr>
      <w:r>
        <w:t>Reporting Threats to Outside Agencies</w:t>
      </w:r>
    </w:p>
    <w:p w14:paraId="2E255F7B" w14:textId="77777777" w:rsidR="00F4641F" w:rsidRPr="000A22C4" w:rsidRDefault="00F4641F" w:rsidP="00F4641F">
      <w:pPr>
        <w:pStyle w:val="SUBHEADING"/>
        <w:jc w:val="both"/>
        <w:rPr>
          <w:szCs w:val="22"/>
        </w:rPr>
      </w:pPr>
      <w:r w:rsidRPr="000A22C4">
        <w:rPr>
          <w:szCs w:val="22"/>
        </w:rPr>
        <w:t>Glossary of Terms</w:t>
      </w:r>
    </w:p>
    <w:p w14:paraId="6ACCBC16" w14:textId="77777777" w:rsidR="00F4641F" w:rsidRPr="003E6B3F" w:rsidRDefault="00F4641F" w:rsidP="00F4641F">
      <w:pPr>
        <w:pStyle w:val="List2"/>
        <w:ind w:left="0" w:firstLine="0"/>
      </w:pPr>
      <w:r w:rsidRPr="003E6B3F">
        <w:rPr>
          <w:b/>
        </w:rPr>
        <w:t>Subject of Concern (Subject)</w:t>
      </w:r>
      <w:r w:rsidRPr="003E6B3F">
        <w:t xml:space="preserve"> </w:t>
      </w:r>
      <w:r w:rsidRPr="00AD6045">
        <w:rPr>
          <w:b/>
        </w:rPr>
        <w:t>–</w:t>
      </w:r>
      <w:r w:rsidRPr="003E6B3F">
        <w:t xml:space="preserve"> an individual who has been identified to pose a threat of violence or serious harm to self/others.</w:t>
      </w:r>
    </w:p>
    <w:p w14:paraId="4B587FFE" w14:textId="77777777" w:rsidR="00F4641F" w:rsidRPr="004E4303" w:rsidRDefault="00F4641F" w:rsidP="00F4641F">
      <w:pPr>
        <w:pStyle w:val="List2"/>
        <w:ind w:left="0" w:firstLine="0"/>
      </w:pPr>
      <w:r w:rsidRPr="003E6B3F">
        <w:rPr>
          <w:b/>
        </w:rPr>
        <w:t xml:space="preserve">Target </w:t>
      </w:r>
      <w:r w:rsidRPr="00AD6045">
        <w:rPr>
          <w:b/>
        </w:rPr>
        <w:t>–</w:t>
      </w:r>
      <w:r w:rsidRPr="003E6B3F">
        <w:t xml:space="preserve"> an individual who is the intended target of the threat posed by the subject of concern.</w:t>
      </w:r>
    </w:p>
    <w:p w14:paraId="1D33119C" w14:textId="77777777" w:rsidR="00F4641F" w:rsidRPr="00060CC0" w:rsidRDefault="00F4641F" w:rsidP="00F4641F">
      <w:pPr>
        <w:pStyle w:val="BodyText"/>
      </w:pPr>
      <w:r w:rsidRPr="00060CC0">
        <w:rPr>
          <w:b/>
        </w:rPr>
        <w:t>Threat Assessment –</w:t>
      </w:r>
      <w:r w:rsidRPr="00060CC0">
        <w:t xml:space="preserve"> A fact-based process emphasizing an appraisal of observed (or reasonably observable) behaviors to identify potentially dangerous or violent </w:t>
      </w:r>
      <w:r>
        <w:t>individuals/</w:t>
      </w:r>
      <w:r w:rsidRPr="00060CC0">
        <w:t>situations, to assess them, and to manage/address them.</w:t>
      </w:r>
    </w:p>
    <w:p w14:paraId="4B375B72" w14:textId="77777777" w:rsidR="00F4641F" w:rsidRDefault="00F4641F" w:rsidP="00F4641F">
      <w:pPr>
        <w:pStyle w:val="BodyText"/>
      </w:pPr>
      <w:r>
        <w:rPr>
          <w:b/>
        </w:rPr>
        <w:t>Threat Assessment Team (TAT)</w:t>
      </w:r>
      <w:r w:rsidRPr="00060CC0">
        <w:rPr>
          <w:b/>
        </w:rPr>
        <w:t xml:space="preserve"> –</w:t>
      </w:r>
      <w:r w:rsidRPr="00060CC0">
        <w:t xml:space="preserve"> </w:t>
      </w:r>
      <w:r>
        <w:t xml:space="preserve">A multidisciplinary Building-level team lead by the Building Principal to perform specific threat assessments that, if available to serve, must include the following members: an administrator, a teacher, a school counselor, a school psychologist, a school social worker, and at least one law enforcement official. </w:t>
      </w:r>
    </w:p>
    <w:p w14:paraId="25BC1316" w14:textId="77777777" w:rsidR="00F4641F" w:rsidRDefault="00F4641F" w:rsidP="00F4641F">
      <w:pPr>
        <w:pStyle w:val="BodyText"/>
        <w:rPr>
          <w:rFonts w:eastAsia="Calibri"/>
        </w:rPr>
      </w:pPr>
      <w:r>
        <w:rPr>
          <w:b/>
        </w:rPr>
        <w:t>TAT Triage Team</w:t>
      </w:r>
      <w:r w:rsidRPr="00060CC0">
        <w:rPr>
          <w:b/>
        </w:rPr>
        <w:t xml:space="preserve"> –</w:t>
      </w:r>
      <w:r>
        <w:t xml:space="preserve"> Consists of at least two members of the TAT designated by t</w:t>
      </w:r>
      <w:r w:rsidRPr="00F06B68">
        <w:rPr>
          <w:rFonts w:eastAsia="Calibri"/>
        </w:rPr>
        <w:t xml:space="preserve">he Building Principal to </w:t>
      </w:r>
      <w:r w:rsidRPr="000A2639">
        <w:rPr>
          <w:rFonts w:eastAsia="Calibri"/>
        </w:rPr>
        <w:t xml:space="preserve">triage </w:t>
      </w:r>
      <w:r w:rsidRPr="00F06B68">
        <w:rPr>
          <w:rFonts w:eastAsia="Calibri"/>
        </w:rPr>
        <w:t>reported</w:t>
      </w:r>
      <w:r>
        <w:rPr>
          <w:rFonts w:eastAsia="Calibri"/>
        </w:rPr>
        <w:t xml:space="preserve"> cases of threatening behavior. S</w:t>
      </w:r>
      <w:r w:rsidRPr="00F06B68">
        <w:rPr>
          <w:rFonts w:eastAsia="Calibri"/>
        </w:rPr>
        <w:t>creen</w:t>
      </w:r>
      <w:r>
        <w:rPr>
          <w:rFonts w:eastAsia="Calibri"/>
        </w:rPr>
        <w:t>s</w:t>
      </w:r>
      <w:r w:rsidRPr="00F06B68">
        <w:rPr>
          <w:rFonts w:eastAsia="Calibri"/>
        </w:rPr>
        <w:t xml:space="preserve"> cases </w:t>
      </w:r>
      <w:r>
        <w:rPr>
          <w:rFonts w:eastAsia="Calibri"/>
        </w:rPr>
        <w:t>to</w:t>
      </w:r>
      <w:r w:rsidRPr="00F06B68">
        <w:rPr>
          <w:rFonts w:eastAsia="Calibri"/>
        </w:rPr>
        <w:t xml:space="preserve"> determine </w:t>
      </w:r>
      <w:r>
        <w:rPr>
          <w:rFonts w:eastAsia="Calibri"/>
        </w:rPr>
        <w:t>if sufficient resources exist</w:t>
      </w:r>
      <w:r w:rsidRPr="00780DC7">
        <w:rPr>
          <w:rFonts w:eastAsia="Calibri"/>
        </w:rPr>
        <w:t xml:space="preserve"> to address concerns</w:t>
      </w:r>
      <w:r>
        <w:rPr>
          <w:rFonts w:eastAsia="Calibri"/>
        </w:rPr>
        <w:t xml:space="preserve"> or if review and/or </w:t>
      </w:r>
      <w:r w:rsidRPr="00F06B68">
        <w:rPr>
          <w:rFonts w:eastAsia="Calibri"/>
        </w:rPr>
        <w:t xml:space="preserve">action by the full </w:t>
      </w:r>
      <w:r w:rsidRPr="00780DC7">
        <w:rPr>
          <w:rFonts w:eastAsia="Calibri"/>
        </w:rPr>
        <w:t>TAT</w:t>
      </w:r>
      <w:r>
        <w:rPr>
          <w:rFonts w:eastAsia="Calibri"/>
        </w:rPr>
        <w:t xml:space="preserve"> is appropriate</w:t>
      </w:r>
      <w:r w:rsidRPr="00780DC7">
        <w:rPr>
          <w:rFonts w:eastAsia="Calibri"/>
        </w:rPr>
        <w:t>.</w:t>
      </w:r>
    </w:p>
    <w:p w14:paraId="3B34F155" w14:textId="77777777" w:rsidR="00F4641F" w:rsidRDefault="00F4641F" w:rsidP="00F4641F">
      <w:pPr>
        <w:pStyle w:val="BodyText"/>
        <w:rPr>
          <w:rFonts w:eastAsia="Calibri"/>
        </w:rPr>
      </w:pPr>
      <w:r>
        <w:rPr>
          <w:rFonts w:eastAsia="Calibri"/>
          <w:b/>
        </w:rPr>
        <w:t>Types of Threats</w:t>
      </w:r>
      <w:r>
        <w:rPr>
          <w:rFonts w:eastAsia="Calibri"/>
        </w:rPr>
        <w:t xml:space="preserve"> – </w:t>
      </w:r>
    </w:p>
    <w:p w14:paraId="791B2883" w14:textId="77777777" w:rsidR="00F4641F" w:rsidRDefault="00F4641F" w:rsidP="00F4641F">
      <w:pPr>
        <w:pStyle w:val="List2"/>
        <w:ind w:left="432" w:hanging="180"/>
        <w:rPr>
          <w:rFonts w:eastAsia="Calibri"/>
        </w:rPr>
      </w:pPr>
      <w:r>
        <w:rPr>
          <w:rFonts w:eastAsia="Calibri"/>
          <w:b/>
        </w:rPr>
        <w:t>Low-</w:t>
      </w:r>
      <w:r w:rsidRPr="00185082">
        <w:rPr>
          <w:rFonts w:eastAsia="Calibri"/>
          <w:b/>
        </w:rPr>
        <w:t>Risk Threat</w:t>
      </w:r>
      <w:r>
        <w:rPr>
          <w:rFonts w:eastAsia="Calibri"/>
        </w:rPr>
        <w:t xml:space="preserve">: </w:t>
      </w:r>
      <w:r>
        <w:t>Subject</w:t>
      </w:r>
      <w:r w:rsidRPr="00352A9F">
        <w:t>/situation does not appear to pose a threat of violence or serious har</w:t>
      </w:r>
      <w:r>
        <w:t>m to self/others,</w:t>
      </w:r>
      <w:r w:rsidRPr="00352A9F">
        <w:t xml:space="preserve"> and any exhibited issues/concerns can be resolved easily.</w:t>
      </w:r>
    </w:p>
    <w:p w14:paraId="21EE133E" w14:textId="77777777" w:rsidR="00F4641F" w:rsidRDefault="00F4641F" w:rsidP="00F4641F">
      <w:pPr>
        <w:pStyle w:val="List2"/>
        <w:ind w:left="432" w:hanging="180"/>
      </w:pPr>
      <w:r>
        <w:rPr>
          <w:rFonts w:eastAsia="Calibri"/>
          <w:b/>
        </w:rPr>
        <w:lastRenderedPageBreak/>
        <w:t>Moderate-</w:t>
      </w:r>
      <w:r w:rsidRPr="00185082">
        <w:rPr>
          <w:rFonts w:eastAsia="Calibri"/>
          <w:b/>
        </w:rPr>
        <w:t>Risk Threat</w:t>
      </w:r>
      <w:r>
        <w:rPr>
          <w:rFonts w:eastAsia="Calibri"/>
        </w:rPr>
        <w:t xml:space="preserve">: </w:t>
      </w:r>
      <w:r>
        <w:t>Subject</w:t>
      </w:r>
      <w:r w:rsidRPr="00352A9F">
        <w:t>/situation does not appear to pose a threat of violence or serious harm to self/others at t</w:t>
      </w:r>
      <w:r>
        <w:t>his time, but exhibits behaviors</w:t>
      </w:r>
      <w:r w:rsidRPr="00352A9F">
        <w:t xml:space="preserve"> that indicate a continuing intent and potential for future violence or serious harm to self/others</w:t>
      </w:r>
      <w:r>
        <w:t>,</w:t>
      </w:r>
      <w:r w:rsidRPr="00352A9F">
        <w:t xml:space="preserve"> and/or exhibits other concerning behavior</w:t>
      </w:r>
      <w:r>
        <w:t>s</w:t>
      </w:r>
      <w:r w:rsidRPr="00352A9F">
        <w:t xml:space="preserve"> that require intervention.</w:t>
      </w:r>
    </w:p>
    <w:p w14:paraId="4564E97F" w14:textId="77777777" w:rsidR="00F4641F" w:rsidRDefault="00F4641F" w:rsidP="00F4641F">
      <w:pPr>
        <w:pStyle w:val="List2"/>
        <w:ind w:left="432" w:hanging="180"/>
      </w:pPr>
      <w:r>
        <w:rPr>
          <w:b/>
        </w:rPr>
        <w:t>High-</w:t>
      </w:r>
      <w:r w:rsidRPr="00185082">
        <w:rPr>
          <w:b/>
        </w:rPr>
        <w:t>Risk Threat</w:t>
      </w:r>
      <w:r>
        <w:t>: Subject</w:t>
      </w:r>
      <w:r w:rsidRPr="00352A9F">
        <w:t>/situation appears to pose a threat of violence, exhibiting behaviors that indicate both a continuing intent to harm and efforts to acquire the</w:t>
      </w:r>
      <w:r>
        <w:t xml:space="preserve"> capacity to carry out the plan,</w:t>
      </w:r>
      <w:r w:rsidRPr="00352A9F">
        <w:t xml:space="preserve"> and may also exhibit other concerning behavior</w:t>
      </w:r>
      <w:r>
        <w:t>s</w:t>
      </w:r>
      <w:r w:rsidRPr="00352A9F">
        <w:t xml:space="preserve"> that require intervention.</w:t>
      </w:r>
    </w:p>
    <w:p w14:paraId="4B5E7AE9" w14:textId="77777777" w:rsidR="00F4641F" w:rsidRDefault="00F4641F" w:rsidP="00F4641F">
      <w:pPr>
        <w:pStyle w:val="List2"/>
        <w:ind w:left="432" w:hanging="180"/>
      </w:pPr>
      <w:r w:rsidRPr="00185082">
        <w:rPr>
          <w:b/>
        </w:rPr>
        <w:t>Imminent</w:t>
      </w:r>
      <w:r>
        <w:rPr>
          <w:b/>
        </w:rPr>
        <w:t xml:space="preserve"> </w:t>
      </w:r>
      <w:r w:rsidRPr="00185082">
        <w:rPr>
          <w:b/>
        </w:rPr>
        <w:t>Threat</w:t>
      </w:r>
      <w:r>
        <w:t>: Subject</w:t>
      </w:r>
      <w:r w:rsidRPr="00352A9F">
        <w:t xml:space="preserve">/situation appears to pose a clear and immediate threat of serious violence toward self/others that requires containment and action to protect </w:t>
      </w:r>
      <w:r>
        <w:t xml:space="preserve">the District’s environment and/or </w:t>
      </w:r>
      <w:r w:rsidRPr="00352A9F">
        <w:t>ident</w:t>
      </w:r>
      <w:r>
        <w:t>ified or identifiable target(s),</w:t>
      </w:r>
      <w:r w:rsidRPr="00352A9F">
        <w:t xml:space="preserve"> and may also exhibit other concerning behavior</w:t>
      </w:r>
      <w:r>
        <w:t>s</w:t>
      </w:r>
      <w:r w:rsidRPr="00352A9F">
        <w:t xml:space="preserve"> that require intervention</w:t>
      </w:r>
      <w:r>
        <w:t>.</w:t>
      </w:r>
    </w:p>
    <w:p w14:paraId="029E2B51" w14:textId="77777777" w:rsidR="00F4641F" w:rsidRDefault="00F4641F" w:rsidP="00F4641F">
      <w:pPr>
        <w:pStyle w:val="SUBHEADING"/>
        <w:rPr>
          <w:rFonts w:eastAsia="Calibri"/>
        </w:rPr>
      </w:pPr>
      <w:r>
        <w:rPr>
          <w:rFonts w:eastAsia="Calibri"/>
        </w:rPr>
        <w:t>TAT Formation, Development, and Responsibilities</w:t>
      </w:r>
    </w:p>
    <w:p w14:paraId="08F080C5" w14:textId="77777777" w:rsidR="00F4641F" w:rsidRPr="004E4303" w:rsidRDefault="00F4641F" w:rsidP="00F4641F">
      <w:pPr>
        <w:pStyle w:val="BodyText"/>
        <w:rPr>
          <w:rFonts w:eastAsia="Calibri"/>
        </w:rPr>
      </w:pPr>
      <w:r>
        <w:rPr>
          <w:rFonts w:eastAsia="Calibri"/>
        </w:rPr>
        <w:t>Following are tasks to integrate TATs into the District’s Targeted School Violence Prevention Plan.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6570"/>
      </w:tblGrid>
      <w:tr w:rsidR="00F4641F" w14:paraId="420C8AD6" w14:textId="77777777" w:rsidTr="00154BC2">
        <w:trPr>
          <w:tblHeader/>
        </w:trPr>
        <w:tc>
          <w:tcPr>
            <w:tcW w:w="2430" w:type="dxa"/>
          </w:tcPr>
          <w:p w14:paraId="0D88BDD8" w14:textId="77777777" w:rsidR="00F4641F" w:rsidRDefault="00F4641F" w:rsidP="00154BC2">
            <w:pPr>
              <w:pStyle w:val="BodyText"/>
              <w:jc w:val="center"/>
            </w:pPr>
            <w:r w:rsidRPr="00C84184">
              <w:rPr>
                <w:b/>
                <w:bCs/>
              </w:rPr>
              <w:t>Actor</w:t>
            </w:r>
          </w:p>
        </w:tc>
        <w:tc>
          <w:tcPr>
            <w:tcW w:w="6570" w:type="dxa"/>
          </w:tcPr>
          <w:p w14:paraId="51E7BB62" w14:textId="77777777" w:rsidR="00F4641F" w:rsidRDefault="00F4641F" w:rsidP="00154BC2">
            <w:pPr>
              <w:pStyle w:val="BodyText"/>
              <w:jc w:val="center"/>
            </w:pPr>
            <w:r w:rsidRPr="00C84184">
              <w:rPr>
                <w:b/>
                <w:bCs/>
              </w:rPr>
              <w:t>Action</w:t>
            </w:r>
          </w:p>
        </w:tc>
      </w:tr>
      <w:tr w:rsidR="00F4641F" w14:paraId="0C7FAB04" w14:textId="77777777" w:rsidTr="00154BC2">
        <w:tc>
          <w:tcPr>
            <w:tcW w:w="2430" w:type="dxa"/>
          </w:tcPr>
          <w:p w14:paraId="76370902" w14:textId="77777777" w:rsidR="00F4641F" w:rsidRDefault="00F4641F" w:rsidP="00154BC2">
            <w:pPr>
              <w:pStyle w:val="BodyText"/>
              <w:jc w:val="left"/>
            </w:pPr>
            <w:r>
              <w:t>Superintendent or designee</w:t>
            </w:r>
          </w:p>
        </w:tc>
        <w:tc>
          <w:tcPr>
            <w:tcW w:w="6570" w:type="dxa"/>
          </w:tcPr>
          <w:p w14:paraId="386186B1" w14:textId="77777777" w:rsidR="00F4641F" w:rsidRDefault="00F4641F" w:rsidP="00154BC2">
            <w:pPr>
              <w:pStyle w:val="BodyText"/>
              <w:jc w:val="left"/>
            </w:pPr>
            <w:r>
              <w:t xml:space="preserve">Ensures TATs are trained in threat assessment by a threat assessment expert. </w:t>
            </w:r>
            <w:r w:rsidRPr="00A459B6">
              <w:t>Free statewide training is available through the Ill. School and Campus Safety Program</w:t>
            </w:r>
            <w:r>
              <w:t>, at:</w:t>
            </w:r>
            <w:hyperlink r:id="rId8" w:history="1">
              <w:r w:rsidRPr="005B287F">
                <w:rPr>
                  <w:rStyle w:val="Hyperlink"/>
                </w:rPr>
                <w:t>www2.illinois.gov/ready/plan/Pages/schools-training.aspx</w:t>
              </w:r>
            </w:hyperlink>
            <w:r w:rsidRPr="00A459B6">
              <w:t>.</w:t>
            </w:r>
          </w:p>
          <w:p w14:paraId="1078FC9C" w14:textId="77777777" w:rsidR="00F4641F" w:rsidRDefault="00F4641F" w:rsidP="00154BC2">
            <w:pPr>
              <w:pStyle w:val="BodyText"/>
              <w:jc w:val="left"/>
            </w:pPr>
            <w:r>
              <w:t>Prior to the start of each school year, files this procedure and a list identifying the members of all TATs with: (1) a local law enforcement agency, and (2) the Regional Office of Education or Intermediate Service Center, as applicable. 105 ILCS 128/45(b), amended by P.A. 102-791. Informs the Board that this filing was completed.</w:t>
            </w:r>
          </w:p>
        </w:tc>
      </w:tr>
      <w:tr w:rsidR="00F4641F" w14:paraId="64B8B9D8" w14:textId="77777777" w:rsidTr="00154BC2">
        <w:tc>
          <w:tcPr>
            <w:tcW w:w="2430" w:type="dxa"/>
          </w:tcPr>
          <w:p w14:paraId="18D070BA" w14:textId="77777777" w:rsidR="00F4641F" w:rsidRDefault="00F4641F" w:rsidP="00154BC2">
            <w:pPr>
              <w:pStyle w:val="BodyText"/>
              <w:jc w:val="left"/>
            </w:pPr>
            <w:r>
              <w:t>Building Principal</w:t>
            </w:r>
          </w:p>
        </w:tc>
        <w:tc>
          <w:tcPr>
            <w:tcW w:w="6570" w:type="dxa"/>
          </w:tcPr>
          <w:p w14:paraId="0F8152DC" w14:textId="77777777" w:rsidR="00F4641F" w:rsidRDefault="00F4641F" w:rsidP="00154BC2">
            <w:pPr>
              <w:pStyle w:val="BodyText"/>
              <w:jc w:val="left"/>
            </w:pPr>
            <w:r>
              <w:t>Selects TAT members with expertise in:</w:t>
            </w:r>
          </w:p>
          <w:p w14:paraId="6F5479BE" w14:textId="77777777" w:rsidR="00F4641F" w:rsidRPr="009A6776" w:rsidRDefault="00F4641F" w:rsidP="00154BC2">
            <w:pPr>
              <w:pStyle w:val="List2"/>
              <w:ind w:left="432" w:hanging="180"/>
              <w:jc w:val="left"/>
              <w:rPr>
                <w:rFonts w:eastAsia="Calibri"/>
              </w:rPr>
            </w:pPr>
            <w:r w:rsidRPr="009A6776">
              <w:rPr>
                <w:rFonts w:eastAsia="Calibri"/>
              </w:rPr>
              <w:t xml:space="preserve">School administration, e.g., a principal or other senior administrator from the school(s) covered by the </w:t>
            </w:r>
            <w:r>
              <w:rPr>
                <w:rFonts w:eastAsia="Calibri"/>
              </w:rPr>
              <w:t>TAT</w:t>
            </w:r>
            <w:r w:rsidRPr="009A6776">
              <w:rPr>
                <w:rFonts w:eastAsia="Calibri"/>
              </w:rPr>
              <w:t xml:space="preserve"> and human resource professionals;</w:t>
            </w:r>
          </w:p>
          <w:p w14:paraId="16CF543A" w14:textId="77777777" w:rsidR="00F4641F" w:rsidRPr="009A6776" w:rsidRDefault="00F4641F" w:rsidP="00154BC2">
            <w:pPr>
              <w:pStyle w:val="List2"/>
              <w:ind w:left="432" w:hanging="180"/>
              <w:jc w:val="left"/>
              <w:rPr>
                <w:rFonts w:eastAsia="Calibri"/>
              </w:rPr>
            </w:pPr>
            <w:r w:rsidRPr="009A6776">
              <w:rPr>
                <w:rFonts w:eastAsia="Calibri"/>
              </w:rPr>
              <w:t>Instruction, e.g., a teacher</w:t>
            </w:r>
            <w:r w:rsidRPr="00644C7D">
              <w:rPr>
                <w:rFonts w:eastAsia="Calibri"/>
              </w:rPr>
              <w:t xml:space="preserve"> or administrator with </w:t>
            </w:r>
            <w:r>
              <w:rPr>
                <w:rFonts w:eastAsia="Calibri"/>
              </w:rPr>
              <w:t xml:space="preserve">recent </w:t>
            </w:r>
            <w:r w:rsidRPr="00644C7D">
              <w:rPr>
                <w:rFonts w:eastAsia="Calibri"/>
              </w:rPr>
              <w:t>instructional experience</w:t>
            </w:r>
            <w:r w:rsidRPr="009A6776">
              <w:rPr>
                <w:rFonts w:eastAsia="Calibri"/>
              </w:rPr>
              <w:t>;</w:t>
            </w:r>
          </w:p>
          <w:p w14:paraId="2ADF059F" w14:textId="77777777" w:rsidR="00F4641F" w:rsidRPr="009A6776" w:rsidRDefault="00F4641F" w:rsidP="00154BC2">
            <w:pPr>
              <w:pStyle w:val="List2"/>
              <w:ind w:left="432" w:hanging="180"/>
              <w:jc w:val="left"/>
              <w:rPr>
                <w:rFonts w:eastAsia="Calibri"/>
              </w:rPr>
            </w:pPr>
            <w:r w:rsidRPr="009A6776">
              <w:rPr>
                <w:rFonts w:eastAsia="Calibri"/>
              </w:rPr>
              <w:t>Counseling, e.g., a school counselor, school psychologist and/or school social worker;</w:t>
            </w:r>
          </w:p>
          <w:p w14:paraId="48E7625A" w14:textId="77777777" w:rsidR="00F4641F" w:rsidRDefault="00F4641F" w:rsidP="00154BC2">
            <w:pPr>
              <w:pStyle w:val="List2"/>
              <w:ind w:left="432" w:hanging="180"/>
              <w:jc w:val="left"/>
              <w:rPr>
                <w:rFonts w:eastAsia="Calibri"/>
              </w:rPr>
            </w:pPr>
            <w:r w:rsidRPr="009A6776">
              <w:rPr>
                <w:rFonts w:eastAsia="Calibri"/>
              </w:rPr>
              <w:t>Law enforcement, e.g., a school resource officer</w:t>
            </w:r>
            <w:r>
              <w:rPr>
                <w:rFonts w:eastAsia="Calibri"/>
              </w:rPr>
              <w:t>;</w:t>
            </w:r>
          </w:p>
          <w:p w14:paraId="6FB4FC5F" w14:textId="77777777" w:rsidR="00F4641F" w:rsidRPr="009A6776" w:rsidRDefault="00F4641F" w:rsidP="00154BC2">
            <w:pPr>
              <w:pStyle w:val="List2"/>
              <w:ind w:left="432" w:hanging="180"/>
              <w:jc w:val="left"/>
              <w:rPr>
                <w:rFonts w:eastAsia="Calibri"/>
              </w:rPr>
            </w:pPr>
            <w:r>
              <w:rPr>
                <w:rFonts w:eastAsia="Calibri"/>
              </w:rPr>
              <w:t>Being a staff member in the building; and</w:t>
            </w:r>
          </w:p>
          <w:p w14:paraId="0D42B503" w14:textId="77777777" w:rsidR="00F4641F" w:rsidRPr="00E35956" w:rsidRDefault="00F4641F" w:rsidP="00154BC2">
            <w:pPr>
              <w:pStyle w:val="List2"/>
              <w:ind w:left="432" w:hanging="180"/>
              <w:jc w:val="left"/>
              <w:rPr>
                <w:rFonts w:eastAsia="Calibri"/>
              </w:rPr>
            </w:pPr>
            <w:r w:rsidRPr="009A6776">
              <w:rPr>
                <w:rFonts w:eastAsia="Calibri"/>
              </w:rPr>
              <w:t>Other community resource persons (as members or consultants as determined by the TAT).</w:t>
            </w:r>
          </w:p>
          <w:p w14:paraId="5326E82A" w14:textId="77777777" w:rsidR="00F4641F" w:rsidRPr="00A012EA" w:rsidRDefault="00F4641F" w:rsidP="00154BC2">
            <w:pPr>
              <w:pStyle w:val="BodyText"/>
              <w:jc w:val="left"/>
            </w:pPr>
            <w:r>
              <w:t xml:space="preserve">Designates a TAT triage team. See 4:190-AP2, E2, </w:t>
            </w:r>
            <w:r>
              <w:rPr>
                <w:i/>
              </w:rPr>
              <w:t>Threat Assessment Documentation</w:t>
            </w:r>
            <w:r>
              <w:t>.</w:t>
            </w:r>
          </w:p>
          <w:p w14:paraId="16A57651" w14:textId="77777777" w:rsidR="00F4641F" w:rsidRDefault="00F4641F" w:rsidP="00154BC2">
            <w:pPr>
              <w:pStyle w:val="BodyText"/>
              <w:jc w:val="left"/>
            </w:pPr>
            <w:r>
              <w:t>When a tip or concern is raised, activates the TAT and uses this procedure.</w:t>
            </w:r>
          </w:p>
        </w:tc>
      </w:tr>
      <w:tr w:rsidR="00F4641F" w14:paraId="288F88D9" w14:textId="77777777" w:rsidTr="00154BC2">
        <w:tc>
          <w:tcPr>
            <w:tcW w:w="2430" w:type="dxa"/>
          </w:tcPr>
          <w:p w14:paraId="1DBE8B0F" w14:textId="77777777" w:rsidR="00F4641F" w:rsidRDefault="00F4641F" w:rsidP="00154BC2">
            <w:pPr>
              <w:pStyle w:val="BodyText"/>
              <w:jc w:val="left"/>
            </w:pPr>
            <w:r>
              <w:t>TAT</w:t>
            </w:r>
          </w:p>
        </w:tc>
        <w:tc>
          <w:tcPr>
            <w:tcW w:w="6570" w:type="dxa"/>
          </w:tcPr>
          <w:p w14:paraId="31E96E08" w14:textId="77777777" w:rsidR="00F4641F" w:rsidRDefault="00F4641F" w:rsidP="00154BC2">
            <w:pPr>
              <w:pStyle w:val="List2"/>
              <w:spacing w:before="60" w:after="60"/>
              <w:ind w:left="32" w:firstLine="0"/>
              <w:jc w:val="left"/>
            </w:pPr>
            <w:r>
              <w:t>Receives education</w:t>
            </w:r>
            <w:r w:rsidRPr="00CB19A8">
              <w:t xml:space="preserve"> </w:t>
            </w:r>
            <w:r>
              <w:t>and seeks training resources, including</w:t>
            </w:r>
            <w:r w:rsidRPr="00CB19A8">
              <w:t xml:space="preserve"> 4:190-AP2, E1</w:t>
            </w:r>
            <w:r>
              <w:t xml:space="preserve">, </w:t>
            </w:r>
            <w:r>
              <w:rPr>
                <w:i/>
              </w:rPr>
              <w:t>Principles of Threat Assessment</w:t>
            </w:r>
            <w:r>
              <w:t>.</w:t>
            </w:r>
          </w:p>
          <w:p w14:paraId="632EE97E" w14:textId="77777777" w:rsidR="00F4641F" w:rsidRDefault="00F4641F" w:rsidP="00154BC2">
            <w:pPr>
              <w:pStyle w:val="List2"/>
              <w:spacing w:before="60" w:after="60"/>
              <w:ind w:left="32" w:firstLine="0"/>
              <w:jc w:val="left"/>
            </w:pPr>
            <w:r>
              <w:t>Receives threat assessment training by a threat assessment expert.</w:t>
            </w:r>
          </w:p>
          <w:p w14:paraId="19C076A5" w14:textId="77777777" w:rsidR="00F4641F" w:rsidRDefault="00F4641F" w:rsidP="00154BC2">
            <w:pPr>
              <w:pStyle w:val="List2"/>
              <w:spacing w:before="60" w:after="60"/>
              <w:ind w:left="32" w:firstLine="0"/>
              <w:jc w:val="left"/>
              <w:rPr>
                <w:rFonts w:eastAsia="Calibri"/>
              </w:rPr>
            </w:pPr>
            <w:r>
              <w:t xml:space="preserve">Commits to work </w:t>
            </w:r>
            <w:r w:rsidRPr="00F36A1C">
              <w:rPr>
                <w:rFonts w:eastAsia="Calibri"/>
              </w:rPr>
              <w:t>collaboratively with each other, with other school staff, and (as appropriate) with community resource persons to support the safety of the school, its students, and its staff</w:t>
            </w:r>
            <w:r>
              <w:rPr>
                <w:rFonts w:eastAsia="Calibri"/>
              </w:rPr>
              <w:t>.</w:t>
            </w:r>
          </w:p>
          <w:p w14:paraId="079452B0" w14:textId="77777777" w:rsidR="00F4641F" w:rsidRDefault="00F4641F" w:rsidP="00154BC2">
            <w:pPr>
              <w:pStyle w:val="List2"/>
              <w:spacing w:before="60" w:after="60"/>
              <w:ind w:left="32" w:firstLine="0"/>
              <w:jc w:val="left"/>
              <w:rPr>
                <w:rFonts w:eastAsia="Calibri"/>
              </w:rPr>
            </w:pPr>
            <w:r>
              <w:rPr>
                <w:rFonts w:eastAsia="Calibri"/>
              </w:rPr>
              <w:lastRenderedPageBreak/>
              <w:t xml:space="preserve">Actively, </w:t>
            </w:r>
            <w:r w:rsidRPr="00F36A1C">
              <w:rPr>
                <w:rFonts w:eastAsia="Calibri"/>
              </w:rPr>
              <w:t>lawfully, and ethically communicate</w:t>
            </w:r>
            <w:r>
              <w:rPr>
                <w:rFonts w:eastAsia="Calibri"/>
              </w:rPr>
              <w:t>s with each other, District</w:t>
            </w:r>
            <w:r w:rsidRPr="00F36A1C">
              <w:rPr>
                <w:rFonts w:eastAsia="Calibri"/>
              </w:rPr>
              <w:t xml:space="preserve"> administrators</w:t>
            </w:r>
            <w:r>
              <w:rPr>
                <w:rFonts w:eastAsia="Calibri"/>
              </w:rPr>
              <w:t>,</w:t>
            </w:r>
            <w:r w:rsidRPr="00F36A1C">
              <w:rPr>
                <w:rFonts w:eastAsia="Calibri"/>
              </w:rPr>
              <w:t xml:space="preserve"> and other school staff who have a need to know particular information to support the safety of the sch</w:t>
            </w:r>
            <w:r>
              <w:rPr>
                <w:rFonts w:eastAsia="Calibri"/>
              </w:rPr>
              <w:t>ool, its students, and its staff.</w:t>
            </w:r>
          </w:p>
          <w:p w14:paraId="6034ECFF" w14:textId="77777777" w:rsidR="00F4641F" w:rsidRDefault="00F4641F" w:rsidP="00154BC2">
            <w:pPr>
              <w:pStyle w:val="List2"/>
              <w:spacing w:before="60" w:after="60"/>
              <w:ind w:left="32" w:firstLine="0"/>
              <w:jc w:val="left"/>
              <w:rPr>
                <w:rFonts w:eastAsia="Calibri"/>
              </w:rPr>
            </w:pPr>
            <w:r>
              <w:t xml:space="preserve">Trains </w:t>
            </w:r>
            <w:r>
              <w:rPr>
                <w:rFonts w:eastAsia="Calibri"/>
              </w:rPr>
              <w:t>staff, students, parents</w:t>
            </w:r>
            <w:r w:rsidRPr="00F36A1C">
              <w:rPr>
                <w:rFonts w:eastAsia="Calibri"/>
              </w:rPr>
              <w:t xml:space="preserve">/guardians, and other members of the school community to recognize and report </w:t>
            </w:r>
            <w:r>
              <w:rPr>
                <w:rFonts w:eastAsia="Calibri"/>
              </w:rPr>
              <w:t>possible</w:t>
            </w:r>
            <w:r w:rsidRPr="00F36A1C">
              <w:rPr>
                <w:rFonts w:eastAsia="Calibri"/>
              </w:rPr>
              <w:t xml:space="preserve"> threat</w:t>
            </w:r>
            <w:r>
              <w:rPr>
                <w:rFonts w:eastAsia="Calibri"/>
              </w:rPr>
              <w:t>s</w:t>
            </w:r>
            <w:r w:rsidRPr="00F36A1C">
              <w:rPr>
                <w:rFonts w:eastAsia="Calibri"/>
              </w:rPr>
              <w:t xml:space="preserve"> by conducting presentations, broadly disseminating relevant information, and ensuring access to consultation from the TAT</w:t>
            </w:r>
            <w:r>
              <w:rPr>
                <w:rFonts w:eastAsia="Calibri"/>
              </w:rPr>
              <w:t>.</w:t>
            </w:r>
          </w:p>
          <w:p w14:paraId="6974E247" w14:textId="77777777" w:rsidR="00F4641F" w:rsidRDefault="00F4641F" w:rsidP="00154BC2">
            <w:pPr>
              <w:pStyle w:val="List2"/>
              <w:spacing w:before="60" w:after="60"/>
              <w:ind w:left="32" w:firstLine="0"/>
              <w:jc w:val="left"/>
              <w:rPr>
                <w:rFonts w:eastAsia="Calibri"/>
              </w:rPr>
            </w:pPr>
            <w:r>
              <w:rPr>
                <w:rFonts w:eastAsia="Calibri"/>
              </w:rPr>
              <w:t xml:space="preserve">Identifies and trains </w:t>
            </w:r>
            <w:r w:rsidRPr="00F36A1C">
              <w:rPr>
                <w:rFonts w:eastAsia="Calibri"/>
              </w:rPr>
              <w:t xml:space="preserve">members of the school community who can take reports of </w:t>
            </w:r>
            <w:r>
              <w:rPr>
                <w:rFonts w:eastAsia="Calibri"/>
              </w:rPr>
              <w:t>possible threats.</w:t>
            </w:r>
          </w:p>
          <w:p w14:paraId="4419B05C" w14:textId="77777777" w:rsidR="00F4641F" w:rsidRDefault="00F4641F" w:rsidP="00154BC2">
            <w:pPr>
              <w:pStyle w:val="List2"/>
              <w:spacing w:before="60" w:after="60"/>
              <w:ind w:left="0" w:firstLine="0"/>
              <w:jc w:val="left"/>
            </w:pPr>
            <w:r>
              <w:t xml:space="preserve">Effectively implements </w:t>
            </w:r>
            <w:r w:rsidRPr="00F36A1C">
              <w:rPr>
                <w:rFonts w:eastAsia="Calibri"/>
              </w:rPr>
              <w:t>Board polic</w:t>
            </w:r>
            <w:r>
              <w:rPr>
                <w:rFonts w:eastAsia="Calibri"/>
              </w:rPr>
              <w:t xml:space="preserve">y 4:190, </w:t>
            </w:r>
            <w:r w:rsidRPr="004E4303">
              <w:rPr>
                <w:rFonts w:eastAsia="Calibri"/>
                <w:i/>
              </w:rPr>
              <w:t>Targeted School Violence Prevention Program</w:t>
            </w:r>
            <w:r>
              <w:rPr>
                <w:rFonts w:eastAsia="Calibri"/>
              </w:rPr>
              <w:t>.</w:t>
            </w:r>
          </w:p>
        </w:tc>
      </w:tr>
    </w:tbl>
    <w:p w14:paraId="2581B4FD" w14:textId="77777777" w:rsidR="00F4641F" w:rsidRPr="00C01827" w:rsidRDefault="00F4641F" w:rsidP="00F4641F">
      <w:pPr>
        <w:pStyle w:val="SUBHEADING"/>
      </w:pPr>
      <w:r w:rsidRPr="00C01827">
        <w:lastRenderedPageBreak/>
        <w:t>Assessing and Classifying Threats</w:t>
      </w:r>
    </w:p>
    <w:p w14:paraId="7C0924AC" w14:textId="77777777" w:rsidR="00F4641F" w:rsidRDefault="00F4641F" w:rsidP="00F4641F">
      <w:pPr>
        <w:pStyle w:val="BodyText"/>
      </w:pPr>
      <w:r w:rsidRPr="00F06B68">
        <w:t>When a threat is reported, the Building Principal and</w:t>
      </w:r>
      <w:r w:rsidRPr="000A2639">
        <w:rPr>
          <w:rFonts w:eastAsia="Calibri"/>
        </w:rPr>
        <w:t xml:space="preserve"> TAT </w:t>
      </w:r>
      <w:r>
        <w:rPr>
          <w:rFonts w:eastAsia="Calibri"/>
        </w:rPr>
        <w:t xml:space="preserve">assess and </w:t>
      </w:r>
      <w:r w:rsidRPr="00F06B68">
        <w:t>classify the threat using the criteria and process outlined below</w:t>
      </w:r>
      <w:r w:rsidRPr="000A2639">
        <w: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6570"/>
      </w:tblGrid>
      <w:tr w:rsidR="00F4641F" w14:paraId="257309E9" w14:textId="77777777" w:rsidTr="00154BC2">
        <w:trPr>
          <w:tblHeader/>
        </w:trPr>
        <w:tc>
          <w:tcPr>
            <w:tcW w:w="2430" w:type="dxa"/>
          </w:tcPr>
          <w:p w14:paraId="05D0E7BA" w14:textId="77777777" w:rsidR="00F4641F" w:rsidRDefault="00F4641F" w:rsidP="00154BC2">
            <w:pPr>
              <w:pStyle w:val="BodyText"/>
              <w:jc w:val="center"/>
            </w:pPr>
            <w:r w:rsidRPr="00C84184">
              <w:rPr>
                <w:b/>
                <w:bCs/>
              </w:rPr>
              <w:t>Actor</w:t>
            </w:r>
          </w:p>
        </w:tc>
        <w:tc>
          <w:tcPr>
            <w:tcW w:w="6570" w:type="dxa"/>
          </w:tcPr>
          <w:p w14:paraId="3A568D2F" w14:textId="77777777" w:rsidR="00F4641F" w:rsidRDefault="00F4641F" w:rsidP="00154BC2">
            <w:pPr>
              <w:pStyle w:val="BodyText"/>
              <w:jc w:val="center"/>
            </w:pPr>
            <w:r w:rsidRPr="00C84184">
              <w:rPr>
                <w:b/>
                <w:bCs/>
              </w:rPr>
              <w:t>Action</w:t>
            </w:r>
          </w:p>
        </w:tc>
      </w:tr>
      <w:tr w:rsidR="00F4641F" w14:paraId="3CD84137" w14:textId="77777777" w:rsidTr="00154BC2">
        <w:tc>
          <w:tcPr>
            <w:tcW w:w="2430" w:type="dxa"/>
          </w:tcPr>
          <w:p w14:paraId="494FEE36" w14:textId="77777777" w:rsidR="00F4641F" w:rsidRDefault="00F4641F" w:rsidP="00154BC2">
            <w:pPr>
              <w:pStyle w:val="BodyText"/>
              <w:jc w:val="left"/>
            </w:pPr>
            <w:r>
              <w:t>Building Principal</w:t>
            </w:r>
          </w:p>
        </w:tc>
        <w:tc>
          <w:tcPr>
            <w:tcW w:w="6570" w:type="dxa"/>
          </w:tcPr>
          <w:p w14:paraId="1A725ACC" w14:textId="77777777" w:rsidR="00F4641F" w:rsidRPr="004E4303" w:rsidRDefault="00F4641F" w:rsidP="00154BC2">
            <w:pPr>
              <w:pStyle w:val="BodyText"/>
              <w:jc w:val="left"/>
            </w:pPr>
            <w:r>
              <w:t xml:space="preserve">Educates him/herself about </w:t>
            </w:r>
            <w:r>
              <w:rPr>
                <w:i/>
              </w:rPr>
              <w:t>types</w:t>
            </w:r>
            <w:r>
              <w:t xml:space="preserve"> of threats.</w:t>
            </w:r>
          </w:p>
          <w:p w14:paraId="3011FB08" w14:textId="77777777" w:rsidR="00F4641F" w:rsidRPr="00EC7F61" w:rsidRDefault="00F4641F" w:rsidP="00154BC2">
            <w:pPr>
              <w:pStyle w:val="BodyText"/>
              <w:jc w:val="left"/>
            </w:pPr>
            <w:r>
              <w:t xml:space="preserve">Determines if an imminent threat exists. If an imminent threat exists, notifies law enforcement in accordance with </w:t>
            </w:r>
            <w:r w:rsidRPr="00E0510E">
              <w:t xml:space="preserve">4:170-AP1, </w:t>
            </w:r>
            <w:r w:rsidRPr="00E0510E">
              <w:rPr>
                <w:i/>
              </w:rPr>
              <w:t xml:space="preserve">Comprehensive Safety and Security Plan, Part G, School Emergency Operations </w:t>
            </w:r>
            <w:r>
              <w:rPr>
                <w:i/>
              </w:rPr>
              <w:t xml:space="preserve">and Crisis Response </w:t>
            </w:r>
            <w:r w:rsidRPr="00E0510E">
              <w:rPr>
                <w:i/>
              </w:rPr>
              <w:t>Plan (</w:t>
            </w:r>
            <w:r>
              <w:rPr>
                <w:i/>
              </w:rPr>
              <w:t>S</w:t>
            </w:r>
            <w:r w:rsidRPr="00E0510E">
              <w:rPr>
                <w:i/>
              </w:rPr>
              <w:t>EO</w:t>
            </w:r>
            <w:r>
              <w:rPr>
                <w:i/>
              </w:rPr>
              <w:t>CR</w:t>
            </w:r>
            <w:r w:rsidRPr="00E0510E">
              <w:rPr>
                <w:i/>
              </w:rPr>
              <w:t>P)</w:t>
            </w:r>
            <w:r>
              <w:t>.</w:t>
            </w:r>
          </w:p>
        </w:tc>
      </w:tr>
      <w:tr w:rsidR="00F4641F" w14:paraId="7150B423" w14:textId="77777777" w:rsidTr="00154BC2">
        <w:tc>
          <w:tcPr>
            <w:tcW w:w="2430" w:type="dxa"/>
          </w:tcPr>
          <w:p w14:paraId="4F4AB69E" w14:textId="77777777" w:rsidR="00F4641F" w:rsidRDefault="00F4641F" w:rsidP="00154BC2">
            <w:pPr>
              <w:pStyle w:val="BodyText"/>
              <w:jc w:val="left"/>
            </w:pPr>
            <w:r>
              <w:t>Building Principal and/or TAT Triage Team</w:t>
            </w:r>
          </w:p>
        </w:tc>
        <w:tc>
          <w:tcPr>
            <w:tcW w:w="6570" w:type="dxa"/>
          </w:tcPr>
          <w:p w14:paraId="004CAADC" w14:textId="77777777" w:rsidR="00F4641F" w:rsidRPr="00ED5B63" w:rsidRDefault="00F4641F" w:rsidP="00154BC2">
            <w:pPr>
              <w:pStyle w:val="BodyText"/>
              <w:jc w:val="left"/>
            </w:pPr>
            <w:r>
              <w:t>If no imminent threat exists, or once an imminent threat is contained, triages threat (with the TAT Triage Team, if one is designated by the Building Principal) to determine if the full TAT must be involved. See 4:190-AP2, E2</w:t>
            </w:r>
            <w:r>
              <w:rPr>
                <w:i/>
              </w:rPr>
              <w:t>, Threat Assessment Documentation</w:t>
            </w:r>
            <w:r>
              <w:t>.</w:t>
            </w:r>
          </w:p>
          <w:p w14:paraId="18437D23" w14:textId="77777777" w:rsidR="00F4641F" w:rsidRDefault="00F4641F" w:rsidP="00154BC2">
            <w:pPr>
              <w:pStyle w:val="BodyText"/>
              <w:jc w:val="left"/>
            </w:pPr>
            <w:r>
              <w:t>Triage may include:</w:t>
            </w:r>
          </w:p>
          <w:p w14:paraId="70245891" w14:textId="77777777" w:rsidR="00F4641F" w:rsidRPr="00352A9F" w:rsidRDefault="00F4641F" w:rsidP="00154BC2">
            <w:pPr>
              <w:pStyle w:val="List2"/>
              <w:ind w:left="432" w:hanging="180"/>
              <w:jc w:val="left"/>
            </w:pPr>
            <w:r w:rsidRPr="00352A9F">
              <w:t>Review</w:t>
            </w:r>
            <w:r>
              <w:t>ing</w:t>
            </w:r>
            <w:r w:rsidRPr="00352A9F">
              <w:t xml:space="preserve"> the threatening communication</w:t>
            </w:r>
            <w:r>
              <w:t xml:space="preserve"> and/or behavior</w:t>
            </w:r>
            <w:r w:rsidRPr="00352A9F">
              <w:t>.</w:t>
            </w:r>
          </w:p>
          <w:p w14:paraId="3D66AB5E" w14:textId="77777777" w:rsidR="00F4641F" w:rsidRPr="00352A9F" w:rsidRDefault="00F4641F" w:rsidP="00154BC2">
            <w:pPr>
              <w:pStyle w:val="List2"/>
              <w:ind w:left="432" w:hanging="180"/>
              <w:jc w:val="left"/>
            </w:pPr>
            <w:r w:rsidRPr="00352A9F">
              <w:t>Review</w:t>
            </w:r>
            <w:r>
              <w:t>ing</w:t>
            </w:r>
            <w:r w:rsidRPr="00352A9F">
              <w:t xml:space="preserve"> school and other records for any prior history or interventions with the individual(s) involved.</w:t>
            </w:r>
          </w:p>
          <w:p w14:paraId="26C90865" w14:textId="77777777" w:rsidR="00F4641F" w:rsidRDefault="00F4641F" w:rsidP="00154BC2">
            <w:pPr>
              <w:pStyle w:val="List2"/>
              <w:ind w:left="432" w:hanging="180"/>
              <w:jc w:val="left"/>
            </w:pPr>
            <w:r>
              <w:t xml:space="preserve">Evaluating </w:t>
            </w:r>
            <w:r w:rsidRPr="00352A9F">
              <w:t>the</w:t>
            </w:r>
            <w:r>
              <w:t xml:space="preserve"> threat in context</w:t>
            </w:r>
            <w:r w:rsidRPr="00352A9F">
              <w:t xml:space="preserve"> so that the meaning of the threat and intent can be determined</w:t>
            </w:r>
            <w:r>
              <w:t xml:space="preserve"> by, among other things, c</w:t>
            </w:r>
            <w:r w:rsidRPr="00352A9F">
              <w:t>onducting timely and thoro</w:t>
            </w:r>
            <w:r>
              <w:t>ugh interviews (as necessary) with</w:t>
            </w:r>
            <w:r w:rsidRPr="00352A9F">
              <w:t xml:space="preserve"> the person(s) who reported the threat, the </w:t>
            </w:r>
            <w:r>
              <w:t xml:space="preserve">threat </w:t>
            </w:r>
            <w:r w:rsidRPr="00352A9F">
              <w:t>recipient(s)</w:t>
            </w:r>
            <w:r>
              <w:t>/</w:t>
            </w:r>
            <w:r w:rsidRPr="00352A9F">
              <w:t>target(s), other witnesses who have knowledge of the threat, and whe</w:t>
            </w:r>
            <w:r>
              <w:t>n</w:t>
            </w:r>
            <w:r w:rsidRPr="00352A9F">
              <w:t xml:space="preserve"> reasonable, the </w:t>
            </w:r>
            <w:r>
              <w:t>subject of concern (subject)</w:t>
            </w:r>
            <w:r w:rsidRPr="00352A9F">
              <w:t xml:space="preserve"> who allegedly engaged in the threatening communication</w:t>
            </w:r>
            <w:r>
              <w:t xml:space="preserve"> and/or behavior</w:t>
            </w:r>
            <w:r w:rsidRPr="00352A9F">
              <w:t>.</w:t>
            </w:r>
          </w:p>
          <w:p w14:paraId="0953DCF7" w14:textId="77777777" w:rsidR="00F4641F" w:rsidRDefault="00F4641F" w:rsidP="00154BC2">
            <w:pPr>
              <w:pStyle w:val="LISTNUMBERDOUBLE"/>
              <w:ind w:left="0" w:firstLine="0"/>
              <w:jc w:val="left"/>
            </w:pPr>
            <w:r>
              <w:t>If the full TAT needs to be involved, convenes it as soon as possible.</w:t>
            </w:r>
          </w:p>
        </w:tc>
      </w:tr>
      <w:tr w:rsidR="00F4641F" w14:paraId="5AE45E2E" w14:textId="77777777" w:rsidTr="00154BC2">
        <w:tc>
          <w:tcPr>
            <w:tcW w:w="2430" w:type="dxa"/>
          </w:tcPr>
          <w:p w14:paraId="401B9CB3" w14:textId="77777777" w:rsidR="00F4641F" w:rsidRDefault="00F4641F" w:rsidP="00154BC2">
            <w:pPr>
              <w:pStyle w:val="BodyText"/>
              <w:jc w:val="left"/>
            </w:pPr>
            <w:r>
              <w:t>TAT</w:t>
            </w:r>
          </w:p>
        </w:tc>
        <w:tc>
          <w:tcPr>
            <w:tcW w:w="6570" w:type="dxa"/>
          </w:tcPr>
          <w:p w14:paraId="7E574DC6" w14:textId="77777777" w:rsidR="00F4641F" w:rsidRPr="006E5FF9" w:rsidRDefault="00F4641F" w:rsidP="00154BC2">
            <w:pPr>
              <w:pStyle w:val="BodyText"/>
              <w:jc w:val="left"/>
            </w:pPr>
            <w:r>
              <w:t>Assesses the threat. See 4:190-AP2, E</w:t>
            </w:r>
            <w:r w:rsidRPr="00B2624A">
              <w:t>3</w:t>
            </w:r>
            <w:r>
              <w:t xml:space="preserve">, </w:t>
            </w:r>
            <w:r w:rsidRPr="00EC7F61">
              <w:rPr>
                <w:i/>
              </w:rPr>
              <w:t>Threat Assessment Key Areas and Questions; Examples</w:t>
            </w:r>
            <w:r>
              <w:t>, for key questions to ask the person(s) who reported the threat, the threat recipient(s)/target(s), other witnesses, and the subject in order to assess the threat.</w:t>
            </w:r>
          </w:p>
          <w:p w14:paraId="764FA175" w14:textId="77777777" w:rsidR="00F4641F" w:rsidRDefault="00F4641F" w:rsidP="00154BC2">
            <w:pPr>
              <w:pStyle w:val="BodyText"/>
              <w:jc w:val="left"/>
            </w:pPr>
            <w:r>
              <w:t>Once the assessment is complete, classifies the threat using the following basic criteria:</w:t>
            </w:r>
          </w:p>
          <w:p w14:paraId="67F20182" w14:textId="77777777" w:rsidR="00F4641F" w:rsidRPr="000A2639" w:rsidRDefault="00F4641F" w:rsidP="00154BC2">
            <w:pPr>
              <w:pStyle w:val="BULLET"/>
              <w:ind w:left="0" w:firstLine="0"/>
              <w:jc w:val="left"/>
            </w:pPr>
            <w:r>
              <w:rPr>
                <w:szCs w:val="22"/>
              </w:rPr>
              <w:lastRenderedPageBreak/>
              <w:t xml:space="preserve">Documents the threat assessment and classification using </w:t>
            </w:r>
            <w:r>
              <w:t xml:space="preserve">4:190-AP2, E2, </w:t>
            </w:r>
            <w:r>
              <w:rPr>
                <w:i/>
              </w:rPr>
              <w:t>Threat Assessment Documentation</w:t>
            </w:r>
            <w:r>
              <w:t xml:space="preserve">, and ensures that TAT documentation follows the acronym </w:t>
            </w:r>
            <w:r w:rsidRPr="000A2639">
              <w:t>FORT</w:t>
            </w:r>
            <w:r>
              <w:t xml:space="preserve">: </w:t>
            </w:r>
          </w:p>
          <w:p w14:paraId="4A30C9BE" w14:textId="77777777" w:rsidR="00F4641F" w:rsidRPr="00406795" w:rsidRDefault="00F4641F" w:rsidP="00154BC2">
            <w:pPr>
              <w:pStyle w:val="List2"/>
              <w:jc w:val="left"/>
              <w:rPr>
                <w:color w:val="000000"/>
                <w:kern w:val="0"/>
                <w:szCs w:val="22"/>
              </w:rPr>
            </w:pPr>
            <w:r w:rsidRPr="00406795">
              <w:rPr>
                <w:b/>
                <w:bCs/>
                <w:color w:val="000000"/>
                <w:kern w:val="0"/>
                <w:szCs w:val="22"/>
              </w:rPr>
              <w:t>F</w:t>
            </w:r>
            <w:r>
              <w:rPr>
                <w:color w:val="000000"/>
                <w:kern w:val="0"/>
                <w:szCs w:val="22"/>
              </w:rPr>
              <w:tab/>
            </w:r>
            <w:r w:rsidRPr="00406795">
              <w:rPr>
                <w:b/>
                <w:bCs/>
                <w:color w:val="000000"/>
                <w:kern w:val="0"/>
                <w:szCs w:val="22"/>
              </w:rPr>
              <w:t>F</w:t>
            </w:r>
            <w:r>
              <w:rPr>
                <w:b/>
                <w:bCs/>
                <w:color w:val="000000"/>
                <w:kern w:val="0"/>
                <w:szCs w:val="22"/>
              </w:rPr>
              <w:t>air</w:t>
            </w:r>
            <w:r w:rsidRPr="00406795">
              <w:rPr>
                <w:b/>
                <w:bCs/>
                <w:color w:val="000000"/>
                <w:kern w:val="0"/>
                <w:szCs w:val="22"/>
              </w:rPr>
              <w:t xml:space="preserve"> </w:t>
            </w:r>
            <w:r w:rsidRPr="00406795">
              <w:rPr>
                <w:color w:val="000000"/>
                <w:kern w:val="0"/>
                <w:szCs w:val="22"/>
              </w:rPr>
              <w:t>– sought to understand situations and give individuals an opportunity to be heard and understood;</w:t>
            </w:r>
          </w:p>
          <w:p w14:paraId="4CB85EFB" w14:textId="77777777" w:rsidR="00F4641F" w:rsidRPr="00406795" w:rsidRDefault="00F4641F" w:rsidP="00154BC2">
            <w:pPr>
              <w:pStyle w:val="List2"/>
              <w:jc w:val="left"/>
              <w:rPr>
                <w:color w:val="000000"/>
                <w:kern w:val="0"/>
                <w:szCs w:val="22"/>
              </w:rPr>
            </w:pPr>
            <w:r w:rsidRPr="00406795">
              <w:rPr>
                <w:b/>
                <w:bCs/>
                <w:color w:val="000000"/>
                <w:kern w:val="0"/>
                <w:szCs w:val="22"/>
              </w:rPr>
              <w:t>O</w:t>
            </w:r>
            <w:r>
              <w:rPr>
                <w:color w:val="000000"/>
                <w:kern w:val="0"/>
                <w:szCs w:val="22"/>
              </w:rPr>
              <w:tab/>
            </w:r>
            <w:r w:rsidRPr="00406795">
              <w:rPr>
                <w:b/>
                <w:bCs/>
                <w:color w:val="000000"/>
                <w:kern w:val="0"/>
                <w:szCs w:val="22"/>
              </w:rPr>
              <w:t>O</w:t>
            </w:r>
            <w:r>
              <w:rPr>
                <w:b/>
                <w:bCs/>
                <w:color w:val="000000"/>
                <w:kern w:val="0"/>
                <w:szCs w:val="22"/>
              </w:rPr>
              <w:t>bjective</w:t>
            </w:r>
            <w:r w:rsidRPr="00406795">
              <w:rPr>
                <w:b/>
                <w:bCs/>
                <w:color w:val="000000"/>
                <w:kern w:val="0"/>
                <w:szCs w:val="22"/>
              </w:rPr>
              <w:t xml:space="preserve"> </w:t>
            </w:r>
            <w:r w:rsidRPr="00406795">
              <w:rPr>
                <w:color w:val="000000"/>
                <w:kern w:val="0"/>
                <w:szCs w:val="22"/>
              </w:rPr>
              <w:t>– sought information based on facts and observations of the case and not speculation or bias;</w:t>
            </w:r>
          </w:p>
          <w:p w14:paraId="58209EAB" w14:textId="77777777" w:rsidR="00F4641F" w:rsidRDefault="00F4641F" w:rsidP="00154BC2">
            <w:pPr>
              <w:pStyle w:val="List2"/>
              <w:jc w:val="left"/>
              <w:rPr>
                <w:color w:val="000000"/>
                <w:kern w:val="0"/>
                <w:szCs w:val="22"/>
              </w:rPr>
            </w:pPr>
            <w:r w:rsidRPr="00406795">
              <w:rPr>
                <w:b/>
                <w:bCs/>
                <w:color w:val="000000"/>
                <w:kern w:val="0"/>
                <w:szCs w:val="22"/>
              </w:rPr>
              <w:t>R</w:t>
            </w:r>
            <w:r>
              <w:rPr>
                <w:color w:val="000000"/>
                <w:kern w:val="0"/>
                <w:szCs w:val="22"/>
              </w:rPr>
              <w:tab/>
            </w:r>
            <w:r>
              <w:rPr>
                <w:b/>
                <w:bCs/>
                <w:color w:val="000000"/>
                <w:kern w:val="0"/>
                <w:szCs w:val="22"/>
              </w:rPr>
              <w:t>Reasonable</w:t>
            </w:r>
            <w:r w:rsidRPr="00406795">
              <w:rPr>
                <w:b/>
                <w:bCs/>
                <w:color w:val="000000"/>
                <w:kern w:val="0"/>
                <w:szCs w:val="22"/>
              </w:rPr>
              <w:t xml:space="preserve"> </w:t>
            </w:r>
            <w:r w:rsidRPr="00406795">
              <w:rPr>
                <w:color w:val="000000"/>
                <w:kern w:val="0"/>
                <w:szCs w:val="22"/>
              </w:rPr>
              <w:t>– engaged in responses that were effective and proportionate to the situation; and</w:t>
            </w:r>
          </w:p>
          <w:p w14:paraId="7673FE01" w14:textId="77777777" w:rsidR="00F4641F" w:rsidRPr="00DD7F89" w:rsidRDefault="00F4641F" w:rsidP="00154BC2">
            <w:pPr>
              <w:pStyle w:val="List2"/>
              <w:jc w:val="left"/>
              <w:rPr>
                <w:color w:val="000000"/>
                <w:kern w:val="0"/>
                <w:szCs w:val="22"/>
              </w:rPr>
            </w:pPr>
            <w:r w:rsidRPr="00406795">
              <w:rPr>
                <w:b/>
                <w:bCs/>
                <w:color w:val="000000"/>
                <w:kern w:val="0"/>
                <w:szCs w:val="22"/>
              </w:rPr>
              <w:t>T</w:t>
            </w:r>
            <w:r>
              <w:rPr>
                <w:color w:val="000000"/>
                <w:kern w:val="0"/>
                <w:szCs w:val="22"/>
              </w:rPr>
              <w:tab/>
            </w:r>
            <w:r w:rsidRPr="00406795">
              <w:rPr>
                <w:b/>
                <w:bCs/>
                <w:color w:val="000000"/>
                <w:kern w:val="0"/>
                <w:szCs w:val="22"/>
              </w:rPr>
              <w:t>T</w:t>
            </w:r>
            <w:r>
              <w:rPr>
                <w:b/>
                <w:bCs/>
                <w:color w:val="000000"/>
                <w:kern w:val="0"/>
                <w:szCs w:val="22"/>
              </w:rPr>
              <w:t>imely</w:t>
            </w:r>
            <w:r w:rsidRPr="00406795">
              <w:rPr>
                <w:b/>
                <w:bCs/>
                <w:color w:val="000000"/>
                <w:kern w:val="0"/>
                <w:szCs w:val="22"/>
              </w:rPr>
              <w:t xml:space="preserve"> </w:t>
            </w:r>
            <w:r w:rsidRPr="00406795">
              <w:rPr>
                <w:color w:val="000000"/>
                <w:kern w:val="0"/>
                <w:szCs w:val="22"/>
              </w:rPr>
              <w:t>– qu</w:t>
            </w:r>
            <w:r>
              <w:rPr>
                <w:color w:val="000000"/>
                <w:kern w:val="0"/>
                <w:szCs w:val="22"/>
              </w:rPr>
              <w:t>ickly and responsively addressed</w:t>
            </w:r>
            <w:r w:rsidRPr="00406795">
              <w:rPr>
                <w:color w:val="000000"/>
                <w:kern w:val="0"/>
                <w:szCs w:val="22"/>
              </w:rPr>
              <w:t xml:space="preserve"> reports of threatening behavior.</w:t>
            </w:r>
          </w:p>
        </w:tc>
      </w:tr>
    </w:tbl>
    <w:p w14:paraId="05FDE142" w14:textId="77777777" w:rsidR="00F4641F" w:rsidRPr="008C1FFC" w:rsidRDefault="00F4641F" w:rsidP="00F4641F">
      <w:pPr>
        <w:pStyle w:val="SUBHEADING"/>
      </w:pPr>
      <w:r>
        <w:lastRenderedPageBreak/>
        <w:t>Responding to and Managing</w:t>
      </w:r>
      <w:r w:rsidRPr="008C1FFC">
        <w:t xml:space="preserve"> Threats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6570"/>
      </w:tblGrid>
      <w:tr w:rsidR="00F4641F" w14:paraId="39CA1182" w14:textId="77777777" w:rsidTr="00154BC2">
        <w:trPr>
          <w:tblHeader/>
        </w:trPr>
        <w:tc>
          <w:tcPr>
            <w:tcW w:w="2430" w:type="dxa"/>
          </w:tcPr>
          <w:p w14:paraId="77B74C95" w14:textId="77777777" w:rsidR="00F4641F" w:rsidRDefault="00F4641F" w:rsidP="00154BC2">
            <w:pPr>
              <w:pStyle w:val="BodyText"/>
              <w:jc w:val="center"/>
            </w:pPr>
            <w:r w:rsidRPr="00C84184">
              <w:rPr>
                <w:b/>
                <w:bCs/>
              </w:rPr>
              <w:t>Actor</w:t>
            </w:r>
          </w:p>
        </w:tc>
        <w:tc>
          <w:tcPr>
            <w:tcW w:w="6570" w:type="dxa"/>
          </w:tcPr>
          <w:p w14:paraId="4E01E564" w14:textId="77777777" w:rsidR="00F4641F" w:rsidRDefault="00F4641F" w:rsidP="00154BC2">
            <w:pPr>
              <w:pStyle w:val="BodyText"/>
              <w:jc w:val="center"/>
            </w:pPr>
            <w:r w:rsidRPr="00C84184">
              <w:rPr>
                <w:b/>
                <w:bCs/>
              </w:rPr>
              <w:t>Action</w:t>
            </w:r>
          </w:p>
        </w:tc>
      </w:tr>
      <w:tr w:rsidR="00F4641F" w:rsidRPr="00EC7F61" w14:paraId="47EB3B4E" w14:textId="77777777" w:rsidTr="00154BC2">
        <w:tc>
          <w:tcPr>
            <w:tcW w:w="2430" w:type="dxa"/>
          </w:tcPr>
          <w:p w14:paraId="180E7C73" w14:textId="77777777" w:rsidR="00F4641F" w:rsidRDefault="00F4641F" w:rsidP="00154BC2">
            <w:pPr>
              <w:pStyle w:val="BodyText"/>
              <w:jc w:val="left"/>
            </w:pPr>
            <w:r>
              <w:t>TAT</w:t>
            </w:r>
          </w:p>
        </w:tc>
        <w:tc>
          <w:tcPr>
            <w:tcW w:w="6570" w:type="dxa"/>
          </w:tcPr>
          <w:p w14:paraId="7EC9018B" w14:textId="77777777" w:rsidR="00F4641F" w:rsidRDefault="00F4641F" w:rsidP="00154BC2">
            <w:pPr>
              <w:pStyle w:val="BodyText"/>
              <w:jc w:val="left"/>
            </w:pPr>
            <w:r>
              <w:t xml:space="preserve">Identifies appropriate responses to the threat based upon its level. See 4:190-AP2, E4, </w:t>
            </w:r>
            <w:r>
              <w:rPr>
                <w:i/>
              </w:rPr>
              <w:t>Responding to Types of Threats</w:t>
            </w:r>
            <w:r>
              <w:t>, for guidance on responses to each threat level.</w:t>
            </w:r>
          </w:p>
          <w:p w14:paraId="004D336D" w14:textId="77777777" w:rsidR="00F4641F" w:rsidRDefault="00F4641F" w:rsidP="00154BC2">
            <w:pPr>
              <w:pStyle w:val="BodyText"/>
              <w:jc w:val="left"/>
            </w:pPr>
            <w:r>
              <w:t>Develops, implements, and monitors an individualized, fact-based case management plan to intervene with, address, and reduce the threat by:</w:t>
            </w:r>
          </w:p>
          <w:p w14:paraId="2CBA8EE0" w14:textId="77777777" w:rsidR="00F4641F" w:rsidRDefault="00F4641F" w:rsidP="00154BC2">
            <w:pPr>
              <w:pStyle w:val="List2"/>
              <w:ind w:left="432" w:hanging="180"/>
              <w:jc w:val="left"/>
            </w:pPr>
            <w:r>
              <w:t>Designating a TAT member as case manager to monitor the status of the subject and to notify the TAT of any change in status, response to interventions/referrals, or additional information that would be cause for reassessment and/or changes in interventions strategies;</w:t>
            </w:r>
          </w:p>
          <w:p w14:paraId="0C07FCA6" w14:textId="77777777" w:rsidR="00F4641F" w:rsidRDefault="00F4641F" w:rsidP="00154BC2">
            <w:pPr>
              <w:pStyle w:val="List2"/>
              <w:ind w:left="432" w:hanging="180"/>
              <w:jc w:val="left"/>
              <w:rPr>
                <w:rFonts w:eastAsia="Calibri"/>
              </w:rPr>
            </w:pPr>
            <w:r>
              <w:t>Assisting</w:t>
            </w:r>
            <w:r>
              <w:rPr>
                <w:rFonts w:eastAsia="Calibri"/>
              </w:rPr>
              <w:t xml:space="preserve"> the subject</w:t>
            </w:r>
            <w:r w:rsidRPr="009A6776">
              <w:rPr>
                <w:rFonts w:eastAsia="Calibri"/>
              </w:rPr>
              <w:t>, and any impacted staff or students, in accessing appropriate school and community-based resources for supp</w:t>
            </w:r>
            <w:r>
              <w:rPr>
                <w:rFonts w:eastAsia="Calibri"/>
              </w:rPr>
              <w:t>ort and/or further intervention;</w:t>
            </w:r>
          </w:p>
          <w:p w14:paraId="297422EE" w14:textId="77777777" w:rsidR="00F4641F" w:rsidRDefault="00F4641F" w:rsidP="00154BC2">
            <w:pPr>
              <w:pStyle w:val="List2"/>
              <w:ind w:left="432" w:hanging="180"/>
              <w:jc w:val="left"/>
            </w:pPr>
            <w:r>
              <w:rPr>
                <w:rFonts w:eastAsia="Calibri"/>
              </w:rPr>
              <w:t xml:space="preserve">Appointing </w:t>
            </w:r>
            <w:r>
              <w:t>one or more TAT members to engage directly with the subject to prevent the subject from becoming isolated; and</w:t>
            </w:r>
          </w:p>
          <w:p w14:paraId="676CC7E5" w14:textId="77777777" w:rsidR="00F4641F" w:rsidRDefault="00F4641F" w:rsidP="00154BC2">
            <w:pPr>
              <w:pStyle w:val="List2"/>
              <w:ind w:left="432" w:hanging="180"/>
              <w:jc w:val="left"/>
            </w:pPr>
            <w:r>
              <w:t xml:space="preserve">Using </w:t>
            </w:r>
            <w:r w:rsidRPr="00406795">
              <w:t>the least intrusive interventions</w:t>
            </w:r>
            <w:r>
              <w:t xml:space="preserve"> and</w:t>
            </w:r>
            <w:r w:rsidRPr="00406795">
              <w:t xml:space="preserve"> strategies that are </w:t>
            </w:r>
            <w:r>
              <w:t>sufficient, fair, and reasonable to address the concerns identified</w:t>
            </w:r>
            <w:r w:rsidRPr="00406795">
              <w:t>.</w:t>
            </w:r>
            <w:r>
              <w:t xml:space="preserve"> See 4:190-AP2, E5, </w:t>
            </w:r>
            <w:r>
              <w:rPr>
                <w:i/>
              </w:rPr>
              <w:t>Threat Assessment Case Management Strategies</w:t>
            </w:r>
            <w:r>
              <w:t>, for interventions and strategies, including those that are subject-based, target-based, and environmental/systems-based.</w:t>
            </w:r>
          </w:p>
          <w:p w14:paraId="533D8850" w14:textId="77777777" w:rsidR="00F4641F" w:rsidRDefault="00F4641F" w:rsidP="00154BC2">
            <w:pPr>
              <w:pStyle w:val="BodyText"/>
              <w:jc w:val="left"/>
            </w:pPr>
            <w:r>
              <w:t xml:space="preserve">Documents this process and any case updates using 4:190-AP2, E2, </w:t>
            </w:r>
            <w:r>
              <w:rPr>
                <w:i/>
              </w:rPr>
              <w:t>Threat Assessment Documentation</w:t>
            </w:r>
            <w:r>
              <w:t>.</w:t>
            </w:r>
          </w:p>
          <w:p w14:paraId="7AA34305" w14:textId="77777777" w:rsidR="00F4641F" w:rsidRDefault="00F4641F" w:rsidP="00154BC2">
            <w:pPr>
              <w:pStyle w:val="BodyText"/>
              <w:jc w:val="left"/>
              <w:rPr>
                <w:rFonts w:eastAsia="Calibri"/>
              </w:rPr>
            </w:pPr>
            <w:r>
              <w:t>Submits u</w:t>
            </w:r>
            <w:r w:rsidRPr="009A6776">
              <w:rPr>
                <w:rFonts w:eastAsia="Calibri"/>
              </w:rPr>
              <w:t>pdates regularly</w:t>
            </w:r>
            <w:r>
              <w:rPr>
                <w:rFonts w:eastAsia="Calibri"/>
              </w:rPr>
              <w:t>,</w:t>
            </w:r>
            <w:r w:rsidRPr="009A6776">
              <w:rPr>
                <w:rFonts w:eastAsia="Calibri"/>
              </w:rPr>
              <w:t xml:space="preserve"> e.g., at least every 30 days</w:t>
            </w:r>
            <w:r>
              <w:rPr>
                <w:rFonts w:eastAsia="Calibri"/>
              </w:rPr>
              <w:t>,</w:t>
            </w:r>
            <w:r w:rsidRPr="009A6776">
              <w:rPr>
                <w:rFonts w:eastAsia="Calibri"/>
              </w:rPr>
              <w:t xml:space="preserve"> until the case is resolved and</w:t>
            </w:r>
            <w:r>
              <w:rPr>
                <w:rFonts w:eastAsia="Calibri"/>
              </w:rPr>
              <w:t xml:space="preserve"> the subject </w:t>
            </w:r>
            <w:r w:rsidRPr="009A6776">
              <w:rPr>
                <w:rFonts w:eastAsia="Calibri"/>
              </w:rPr>
              <w:t xml:space="preserve">no longer </w:t>
            </w:r>
            <w:r>
              <w:rPr>
                <w:rFonts w:eastAsia="Calibri"/>
              </w:rPr>
              <w:t>po</w:t>
            </w:r>
            <w:r w:rsidRPr="009A6776">
              <w:rPr>
                <w:rFonts w:eastAsia="Calibri"/>
              </w:rPr>
              <w:t>se</w:t>
            </w:r>
            <w:r>
              <w:rPr>
                <w:rFonts w:eastAsia="Calibri"/>
              </w:rPr>
              <w:t>s</w:t>
            </w:r>
            <w:r w:rsidRPr="009A6776">
              <w:rPr>
                <w:rFonts w:eastAsia="Calibri"/>
              </w:rPr>
              <w:t xml:space="preserve"> a threat to the s</w:t>
            </w:r>
            <w:r w:rsidRPr="00F36A1C">
              <w:rPr>
                <w:rFonts w:eastAsia="Calibri"/>
              </w:rPr>
              <w:t>chool, its students</w:t>
            </w:r>
            <w:r>
              <w:rPr>
                <w:rFonts w:eastAsia="Calibri"/>
              </w:rPr>
              <w:t>,</w:t>
            </w:r>
            <w:r w:rsidRPr="00F36A1C">
              <w:rPr>
                <w:rFonts w:eastAsia="Calibri"/>
              </w:rPr>
              <w:t xml:space="preserve"> or its staff</w:t>
            </w:r>
            <w:r w:rsidRPr="009A6776">
              <w:rPr>
                <w:rFonts w:eastAsia="Calibri"/>
              </w:rPr>
              <w:t>.</w:t>
            </w:r>
          </w:p>
          <w:p w14:paraId="644F0E7A" w14:textId="77777777" w:rsidR="00F4641F" w:rsidRPr="00ED5B63" w:rsidRDefault="00F4641F" w:rsidP="00154BC2">
            <w:pPr>
              <w:pStyle w:val="BodyText"/>
              <w:jc w:val="left"/>
            </w:pPr>
            <w:r>
              <w:rPr>
                <w:rFonts w:eastAsia="Calibri"/>
              </w:rPr>
              <w:t xml:space="preserve">Maintains </w:t>
            </w:r>
            <w:r>
              <w:t>documentation</w:t>
            </w:r>
            <w:r w:rsidRPr="009A6776">
              <w:rPr>
                <w:rFonts w:eastAsia="Calibri"/>
              </w:rPr>
              <w:t xml:space="preserve"> in accordance with Board policy</w:t>
            </w:r>
            <w:r>
              <w:rPr>
                <w:rFonts w:eastAsia="Calibri"/>
              </w:rPr>
              <w:t>, State records laws,</w:t>
            </w:r>
            <w:r w:rsidRPr="009A6776">
              <w:rPr>
                <w:rFonts w:eastAsia="Calibri"/>
              </w:rPr>
              <w:t xml:space="preserve"> and administrative procedures.</w:t>
            </w:r>
          </w:p>
        </w:tc>
      </w:tr>
    </w:tbl>
    <w:p w14:paraId="264F0923" w14:textId="77777777" w:rsidR="00F4641F" w:rsidRPr="00C01827" w:rsidRDefault="00F4641F" w:rsidP="00F4641F">
      <w:pPr>
        <w:pStyle w:val="SUBHEADING"/>
      </w:pPr>
      <w:r>
        <w:t>Reporting Threats to Outside Agencies</w:t>
      </w:r>
    </w:p>
    <w:p w14:paraId="411E4979" w14:textId="77777777" w:rsidR="00F4641F" w:rsidRPr="000A2639" w:rsidRDefault="00F4641F" w:rsidP="00F4641F">
      <w:pPr>
        <w:pStyle w:val="BodyText"/>
      </w:pPr>
      <w:r>
        <w:t xml:space="preserve">Following is the process to notify </w:t>
      </w:r>
      <w:r w:rsidRPr="000A2639">
        <w:t xml:space="preserve">the </w:t>
      </w:r>
      <w:r>
        <w:t>L</w:t>
      </w:r>
      <w:r w:rsidRPr="000A2639">
        <w:t xml:space="preserve">ocal </w:t>
      </w:r>
      <w:r>
        <w:t>L</w:t>
      </w:r>
      <w:r w:rsidRPr="000A2639">
        <w:t xml:space="preserve">aw </w:t>
      </w:r>
      <w:r>
        <w:t>E</w:t>
      </w:r>
      <w:r w:rsidRPr="000A2639">
        <w:t xml:space="preserve">nforcement </w:t>
      </w:r>
      <w:r>
        <w:t>A</w:t>
      </w:r>
      <w:r w:rsidRPr="000A2639">
        <w:t xml:space="preserve">gency (LLEA) and/or the Ill. </w:t>
      </w:r>
      <w:r>
        <w:t>State Police (ISP) about certain types of threats</w:t>
      </w:r>
      <w:r w:rsidRPr="000A2639">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6660"/>
      </w:tblGrid>
      <w:tr w:rsidR="00F4641F" w14:paraId="25020909" w14:textId="77777777" w:rsidTr="00154BC2">
        <w:trPr>
          <w:tblHeader/>
        </w:trPr>
        <w:tc>
          <w:tcPr>
            <w:tcW w:w="2430" w:type="dxa"/>
          </w:tcPr>
          <w:p w14:paraId="41F584EB" w14:textId="77777777" w:rsidR="00F4641F" w:rsidRDefault="00F4641F" w:rsidP="00154BC2">
            <w:pPr>
              <w:pStyle w:val="BodyText"/>
              <w:jc w:val="center"/>
            </w:pPr>
            <w:r w:rsidRPr="00C84184">
              <w:rPr>
                <w:b/>
                <w:bCs/>
              </w:rPr>
              <w:lastRenderedPageBreak/>
              <w:t>Actor</w:t>
            </w:r>
          </w:p>
        </w:tc>
        <w:tc>
          <w:tcPr>
            <w:tcW w:w="6660" w:type="dxa"/>
          </w:tcPr>
          <w:p w14:paraId="02F8FCAC" w14:textId="77777777" w:rsidR="00F4641F" w:rsidRDefault="00F4641F" w:rsidP="00154BC2">
            <w:pPr>
              <w:pStyle w:val="BodyText"/>
              <w:jc w:val="center"/>
            </w:pPr>
            <w:r w:rsidRPr="00C84184">
              <w:rPr>
                <w:b/>
                <w:bCs/>
              </w:rPr>
              <w:t>Action</w:t>
            </w:r>
          </w:p>
        </w:tc>
      </w:tr>
      <w:tr w:rsidR="00F4641F" w14:paraId="37E089E2" w14:textId="77777777" w:rsidTr="00154BC2">
        <w:tc>
          <w:tcPr>
            <w:tcW w:w="2430" w:type="dxa"/>
          </w:tcPr>
          <w:p w14:paraId="5A215ABD" w14:textId="77777777" w:rsidR="00F4641F" w:rsidRDefault="00F4641F" w:rsidP="00154BC2">
            <w:pPr>
              <w:pStyle w:val="BodyText"/>
              <w:jc w:val="left"/>
            </w:pPr>
            <w:r>
              <w:t>Superintendent or designee</w:t>
            </w:r>
          </w:p>
        </w:tc>
        <w:tc>
          <w:tcPr>
            <w:tcW w:w="6660" w:type="dxa"/>
          </w:tcPr>
          <w:p w14:paraId="4CA2E58B" w14:textId="77777777" w:rsidR="00F4641F" w:rsidRDefault="00F4641F" w:rsidP="00154BC2">
            <w:pPr>
              <w:pStyle w:val="BodyText"/>
              <w:jc w:val="left"/>
              <w:rPr>
                <w:rFonts w:eastAsia="Calibri"/>
              </w:rPr>
            </w:pPr>
            <w:r>
              <w:rPr>
                <w:rFonts w:eastAsia="Calibri"/>
              </w:rPr>
              <w:t>R</w:t>
            </w:r>
            <w:r w:rsidRPr="00C16AF8">
              <w:rPr>
                <w:rFonts w:eastAsia="Calibri"/>
              </w:rPr>
              <w:t>eport</w:t>
            </w:r>
            <w:r>
              <w:rPr>
                <w:rFonts w:eastAsia="Calibri"/>
              </w:rPr>
              <w:t>s</w:t>
            </w:r>
            <w:r w:rsidRPr="00C16AF8">
              <w:rPr>
                <w:rFonts w:eastAsia="Calibri"/>
              </w:rPr>
              <w:t xml:space="preserve"> batteries committed against teachers, teacher personnel, administrative personnel, or educator support personnel</w:t>
            </w:r>
            <w:r>
              <w:rPr>
                <w:rFonts w:eastAsia="Calibri"/>
              </w:rPr>
              <w:t xml:space="preserve"> to: (1) the LLEA immediately after the occurrence of the attack, and (2) ISBE through its web-based School Incident Reporting System (SIRS) as they occur during the year and no later than August 1 for the preceding school year</w:t>
            </w:r>
            <w:r w:rsidRPr="00C16AF8">
              <w:rPr>
                <w:rFonts w:eastAsia="Calibri"/>
              </w:rPr>
              <w:t>. 105 ILCS 5/10-21.7</w:t>
            </w:r>
            <w:r>
              <w:rPr>
                <w:rFonts w:eastAsia="Calibri"/>
              </w:rPr>
              <w:t>, amended by P.A. 102-894</w:t>
            </w:r>
            <w:r w:rsidRPr="00C16AF8">
              <w:rPr>
                <w:rFonts w:eastAsia="Calibri"/>
              </w:rPr>
              <w:t>.</w:t>
            </w:r>
          </w:p>
          <w:p w14:paraId="204CDA04" w14:textId="77777777" w:rsidR="00F4641F" w:rsidRDefault="00F4641F" w:rsidP="00154BC2">
            <w:pPr>
              <w:pStyle w:val="BodyText"/>
              <w:jc w:val="left"/>
              <w:rPr>
                <w:rFonts w:eastAsia="Calibri"/>
              </w:rPr>
            </w:pPr>
            <w:r>
              <w:rPr>
                <w:rFonts w:eastAsia="Calibri"/>
              </w:rPr>
              <w:t>I</w:t>
            </w:r>
            <w:r w:rsidRPr="00C16AF8">
              <w:rPr>
                <w:rFonts w:eastAsia="Calibri"/>
              </w:rPr>
              <w:t>mmediately notif</w:t>
            </w:r>
            <w:r>
              <w:rPr>
                <w:rFonts w:eastAsia="Calibri"/>
              </w:rPr>
              <w:t>ies</w:t>
            </w:r>
            <w:r w:rsidRPr="00C16AF8">
              <w:rPr>
                <w:rFonts w:eastAsia="Calibri"/>
              </w:rPr>
              <w:t xml:space="preserve"> the </w:t>
            </w:r>
            <w:r>
              <w:rPr>
                <w:rFonts w:eastAsia="Calibri"/>
              </w:rPr>
              <w:t>LLEA</w:t>
            </w:r>
            <w:r w:rsidRPr="00C16AF8">
              <w:rPr>
                <w:rFonts w:eastAsia="Calibri"/>
              </w:rPr>
              <w:t xml:space="preserve"> and the </w:t>
            </w:r>
            <w:r>
              <w:rPr>
                <w:rFonts w:eastAsia="Calibri"/>
              </w:rPr>
              <w:t>I</w:t>
            </w:r>
            <w:r w:rsidRPr="00C16AF8">
              <w:rPr>
                <w:rFonts w:eastAsia="Calibri"/>
              </w:rPr>
              <w:t>SP upon receiving a report from any school personnel regarding a verified incident involving</w:t>
            </w:r>
            <w:r>
              <w:rPr>
                <w:rFonts w:eastAsia="Calibri"/>
              </w:rPr>
              <w:t>:</w:t>
            </w:r>
          </w:p>
          <w:p w14:paraId="3F54A119" w14:textId="77777777" w:rsidR="00F4641F" w:rsidRDefault="00F4641F" w:rsidP="00154BC2">
            <w:pPr>
              <w:pStyle w:val="List2"/>
              <w:ind w:left="432" w:hanging="180"/>
              <w:jc w:val="left"/>
              <w:rPr>
                <w:rFonts w:eastAsia="Calibri"/>
              </w:rPr>
            </w:pPr>
            <w:r>
              <w:rPr>
                <w:rFonts w:eastAsia="Calibri"/>
              </w:rPr>
              <w:t>A</w:t>
            </w:r>
            <w:r w:rsidRPr="00C16AF8">
              <w:rPr>
                <w:rFonts w:eastAsia="Calibri"/>
              </w:rPr>
              <w:t xml:space="preserve"> f</w:t>
            </w:r>
            <w:r>
              <w:rPr>
                <w:rFonts w:eastAsia="Calibri"/>
              </w:rPr>
              <w:t>irearm in a school or on school-</w:t>
            </w:r>
            <w:r w:rsidRPr="00C16AF8">
              <w:rPr>
                <w:rFonts w:eastAsia="Calibri"/>
              </w:rPr>
              <w:t>owned or leased property. 105 ILCS 5/10-2</w:t>
            </w:r>
            <w:r>
              <w:rPr>
                <w:rFonts w:eastAsia="Calibri"/>
              </w:rPr>
              <w:t>7.1A(b</w:t>
            </w:r>
            <w:r w:rsidRPr="00C16AF8">
              <w:rPr>
                <w:rFonts w:eastAsia="Calibri"/>
              </w:rPr>
              <w:t>).</w:t>
            </w:r>
          </w:p>
          <w:p w14:paraId="2CB50729" w14:textId="77777777" w:rsidR="00F4641F" w:rsidRPr="00B02EF7" w:rsidRDefault="00F4641F" w:rsidP="00154BC2">
            <w:pPr>
              <w:pStyle w:val="List2"/>
              <w:ind w:left="432" w:hanging="180"/>
              <w:jc w:val="left"/>
              <w:rPr>
                <w:rFonts w:eastAsia="Calibri"/>
              </w:rPr>
            </w:pPr>
            <w:r>
              <w:rPr>
                <w:rFonts w:eastAsia="Calibri"/>
              </w:rPr>
              <w:t>Drugs in a school or on school-</w:t>
            </w:r>
            <w:r w:rsidRPr="00C16AF8">
              <w:rPr>
                <w:rFonts w:eastAsia="Calibri"/>
              </w:rPr>
              <w:t>owned or leased property, including any conveyance owned, leased, or used by the school for the transport of students or school personnel. 105 ILCS 5/10-2</w:t>
            </w:r>
            <w:r>
              <w:rPr>
                <w:rFonts w:eastAsia="Calibri"/>
              </w:rPr>
              <w:t>7.1A</w:t>
            </w:r>
            <w:r w:rsidRPr="00C16AF8">
              <w:rPr>
                <w:rFonts w:eastAsia="Calibri"/>
              </w:rPr>
              <w:t>(b).</w:t>
            </w:r>
          </w:p>
        </w:tc>
      </w:tr>
      <w:tr w:rsidR="00F4641F" w14:paraId="49FBD7AC" w14:textId="77777777" w:rsidTr="00154BC2">
        <w:tc>
          <w:tcPr>
            <w:tcW w:w="2430" w:type="dxa"/>
          </w:tcPr>
          <w:p w14:paraId="3C1682B6" w14:textId="77777777" w:rsidR="00F4641F" w:rsidRDefault="00F4641F" w:rsidP="00154BC2">
            <w:pPr>
              <w:pStyle w:val="BodyText"/>
              <w:jc w:val="left"/>
            </w:pPr>
            <w:r>
              <w:t>Building Principal</w:t>
            </w:r>
          </w:p>
        </w:tc>
        <w:tc>
          <w:tcPr>
            <w:tcW w:w="6660" w:type="dxa"/>
          </w:tcPr>
          <w:p w14:paraId="46A15144" w14:textId="77777777" w:rsidR="00F4641F" w:rsidRDefault="00F4641F" w:rsidP="00154BC2">
            <w:pPr>
              <w:pStyle w:val="BodyText"/>
              <w:jc w:val="left"/>
              <w:rPr>
                <w:rFonts w:eastAsia="Calibri"/>
              </w:rPr>
            </w:pPr>
            <w:r>
              <w:t>R</w:t>
            </w:r>
            <w:r w:rsidRPr="00C16AF8">
              <w:rPr>
                <w:rFonts w:eastAsia="Calibri"/>
              </w:rPr>
              <w:t>eport</w:t>
            </w:r>
            <w:r>
              <w:rPr>
                <w:rFonts w:eastAsia="Calibri"/>
              </w:rPr>
              <w:t>s</w:t>
            </w:r>
            <w:r w:rsidRPr="00C16AF8">
              <w:rPr>
                <w:rFonts w:eastAsia="Calibri"/>
              </w:rPr>
              <w:t xml:space="preserve"> to the </w:t>
            </w:r>
            <w:r>
              <w:rPr>
                <w:rFonts w:eastAsia="Calibri"/>
              </w:rPr>
              <w:t>LLEA</w:t>
            </w:r>
            <w:r w:rsidRPr="00C16AF8">
              <w:rPr>
                <w:rFonts w:eastAsia="Calibri"/>
              </w:rPr>
              <w:t xml:space="preserve"> threats to the safety and welfare of students and teachers by illegal use of drugs and alcohol, by illegal use or possession of weapons, or by gang activity. 105 ILCS 5/10-21.4a.</w:t>
            </w:r>
          </w:p>
          <w:p w14:paraId="35B76CAE" w14:textId="77777777" w:rsidR="00F4641F" w:rsidRDefault="00F4641F" w:rsidP="00154BC2">
            <w:pPr>
              <w:pStyle w:val="BodyText"/>
              <w:jc w:val="left"/>
              <w:rPr>
                <w:rFonts w:eastAsia="Calibri"/>
              </w:rPr>
            </w:pPr>
            <w:r>
              <w:t>R</w:t>
            </w:r>
            <w:r w:rsidRPr="000A2639">
              <w:t>eport</w:t>
            </w:r>
            <w:r>
              <w:t>s</w:t>
            </w:r>
            <w:r w:rsidRPr="000A2639">
              <w:t xml:space="preserve"> other threats to the LLEA as necessary and appropriate.</w:t>
            </w:r>
          </w:p>
          <w:p w14:paraId="58D113EB" w14:textId="77777777" w:rsidR="00F4641F" w:rsidRDefault="00F4641F" w:rsidP="00154BC2">
            <w:pPr>
              <w:pStyle w:val="BodyText"/>
              <w:jc w:val="left"/>
              <w:rPr>
                <w:rFonts w:eastAsia="Calibri"/>
              </w:rPr>
            </w:pPr>
            <w:r>
              <w:rPr>
                <w:rFonts w:eastAsia="Calibri"/>
              </w:rPr>
              <w:t>Immediately notifies</w:t>
            </w:r>
            <w:r w:rsidRPr="00C16AF8">
              <w:rPr>
                <w:rFonts w:eastAsia="Calibri"/>
              </w:rPr>
              <w:t xml:space="preserve"> the </w:t>
            </w:r>
            <w:r>
              <w:rPr>
                <w:rFonts w:eastAsia="Calibri"/>
              </w:rPr>
              <w:t>LLEA</w:t>
            </w:r>
            <w:r w:rsidRPr="00C16AF8">
              <w:rPr>
                <w:rFonts w:eastAsia="Calibri"/>
              </w:rPr>
              <w:t xml:space="preserve"> upon receiving a report that any person has been observed in possession of a firearm on school grounds (other than a law enforcement official engaged in the conduct of his or her official duties).</w:t>
            </w:r>
          </w:p>
          <w:p w14:paraId="67F60DDD" w14:textId="77777777" w:rsidR="00F4641F" w:rsidRDefault="00F4641F" w:rsidP="00154BC2">
            <w:pPr>
              <w:pStyle w:val="BodyText"/>
              <w:ind w:left="252"/>
              <w:jc w:val="left"/>
              <w:rPr>
                <w:rFonts w:eastAsia="Calibri"/>
              </w:rPr>
            </w:pPr>
            <w:r w:rsidRPr="00C16AF8">
              <w:rPr>
                <w:rFonts w:eastAsia="Calibri"/>
              </w:rPr>
              <w:t>If the person found to be in possession of a firearm on school grounds is a student, the Building Principal or designee shall also immediately notify the student’s parent/guardian. 105 ILCS 5/10-21.7A(b).</w:t>
            </w:r>
          </w:p>
          <w:p w14:paraId="657EBBE9" w14:textId="77777777" w:rsidR="00F4641F" w:rsidRPr="00B2624A" w:rsidRDefault="00F4641F" w:rsidP="00154BC2">
            <w:pPr>
              <w:pStyle w:val="BodyText"/>
              <w:jc w:val="left"/>
              <w:rPr>
                <w:rFonts w:eastAsia="Calibri"/>
              </w:rPr>
            </w:pPr>
            <w:r>
              <w:rPr>
                <w:rFonts w:eastAsia="Calibri"/>
              </w:rPr>
              <w:t xml:space="preserve">Reports directly to the ISP within </w:t>
            </w:r>
            <w:r w:rsidRPr="00C16AF8">
              <w:rPr>
                <w:rFonts w:eastAsia="Calibri"/>
              </w:rPr>
              <w:t xml:space="preserve">24 hours of </w:t>
            </w:r>
            <w:r>
              <w:rPr>
                <w:rFonts w:eastAsia="Calibri"/>
              </w:rPr>
              <w:t>a</w:t>
            </w:r>
            <w:r w:rsidRPr="00C16AF8">
              <w:rPr>
                <w:rFonts w:eastAsia="Calibri"/>
              </w:rPr>
              <w:t xml:space="preserve"> determination that a student or other person poses a clear and present danger to </w:t>
            </w:r>
            <w:r>
              <w:rPr>
                <w:rFonts w:eastAsia="Calibri"/>
              </w:rPr>
              <w:t>himself, herself, or others</w:t>
            </w:r>
            <w:r w:rsidRPr="00C16AF8">
              <w:rPr>
                <w:rFonts w:eastAsia="Calibri"/>
              </w:rPr>
              <w:t xml:space="preserve">. 430 ILCS 66/105 and 405 ILCS 5/6-103.3; 20 </w:t>
            </w:r>
            <w:proofErr w:type="spellStart"/>
            <w:proofErr w:type="gramStart"/>
            <w:r w:rsidRPr="00C16AF8">
              <w:rPr>
                <w:rFonts w:eastAsia="Calibri"/>
              </w:rPr>
              <w:t>Ill.Admin.Code</w:t>
            </w:r>
            <w:proofErr w:type="spellEnd"/>
            <w:proofErr w:type="gramEnd"/>
            <w:r w:rsidRPr="00C16AF8">
              <w:rPr>
                <w:rFonts w:eastAsia="Calibri"/>
              </w:rPr>
              <w:t xml:space="preserve"> §1230.120(b).</w:t>
            </w:r>
          </w:p>
        </w:tc>
      </w:tr>
    </w:tbl>
    <w:p w14:paraId="5412C845" w14:textId="77777777" w:rsidR="00ED5B63" w:rsidRPr="00F4641F" w:rsidRDefault="00ED5B63" w:rsidP="00F4641F">
      <w:pPr>
        <w:rPr>
          <w:rFonts w:eastAsia="Calibri"/>
        </w:rPr>
      </w:pPr>
    </w:p>
    <w:sectPr w:rsidR="00ED5B63" w:rsidRPr="00F4641F">
      <w:footerReference w:type="default" r:id="rId9"/>
      <w:pgSz w:w="12240" w:h="15840"/>
      <w:pgMar w:top="1440" w:right="108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5F521" w14:textId="77777777" w:rsidR="0055021A" w:rsidRDefault="0055021A" w:rsidP="00DD3817">
      <w:r>
        <w:separator/>
      </w:r>
    </w:p>
  </w:endnote>
  <w:endnote w:type="continuationSeparator" w:id="0">
    <w:p w14:paraId="232FD3FC" w14:textId="77777777" w:rsidR="0055021A" w:rsidRDefault="0055021A" w:rsidP="00DD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7F9C" w14:textId="77777777" w:rsidR="00B01D7C" w:rsidRDefault="00F4641F">
    <w:pPr>
      <w:pStyle w:val="Footer"/>
      <w:tabs>
        <w:tab w:val="clear" w:pos="4320"/>
        <w:tab w:val="clear" w:pos="8640"/>
        <w:tab w:val="right" w:pos="9000"/>
      </w:tabs>
    </w:pPr>
  </w:p>
  <w:p w14:paraId="636A8406" w14:textId="385DD2AA" w:rsidR="00B01D7C" w:rsidRDefault="00114898">
    <w:pPr>
      <w:pStyle w:val="Footer"/>
      <w:tabs>
        <w:tab w:val="clear" w:pos="4320"/>
        <w:tab w:val="clear" w:pos="8640"/>
        <w:tab w:val="right" w:pos="9000"/>
      </w:tabs>
    </w:pPr>
    <w:r>
      <w:t>4:190-AP2</w:t>
    </w:r>
    <w:r>
      <w:tab/>
      <w:t xml:space="preserve">Page </w:t>
    </w:r>
    <w:r>
      <w:fldChar w:fldCharType="begin"/>
    </w:r>
    <w:r>
      <w:instrText xml:space="preserve"> PAGE  \* MERGEFORMAT </w:instrText>
    </w:r>
    <w:r>
      <w:fldChar w:fldCharType="separate"/>
    </w:r>
    <w:r w:rsidR="009C0BB2">
      <w:rPr>
        <w:noProof/>
      </w:rPr>
      <w:t>2</w:t>
    </w:r>
    <w:r>
      <w:fldChar w:fldCharType="end"/>
    </w:r>
    <w:r>
      <w:t xml:space="preserve"> of </w:t>
    </w:r>
    <w:r w:rsidR="002913D2">
      <w:rPr>
        <w:noProof/>
      </w:rPr>
      <w:fldChar w:fldCharType="begin"/>
    </w:r>
    <w:r w:rsidR="002913D2">
      <w:rPr>
        <w:noProof/>
      </w:rPr>
      <w:instrText xml:space="preserve"> SECTIONPAGES  \* MERGEFORMAT </w:instrText>
    </w:r>
    <w:r w:rsidR="002913D2">
      <w:rPr>
        <w:noProof/>
      </w:rPr>
      <w:fldChar w:fldCharType="separate"/>
    </w:r>
    <w:r w:rsidR="00F4641F">
      <w:rPr>
        <w:noProof/>
      </w:rPr>
      <w:t>5</w:t>
    </w:r>
    <w:r w:rsidR="002913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D485" w14:textId="77777777" w:rsidR="0055021A" w:rsidRDefault="0055021A" w:rsidP="00FA5D1A">
      <w:r>
        <w:separator/>
      </w:r>
    </w:p>
    <w:p w14:paraId="0D32CBB6" w14:textId="77777777" w:rsidR="0055021A" w:rsidRDefault="0055021A" w:rsidP="00FA5D1A">
      <w:pPr>
        <w:pStyle w:val="FootnoteText"/>
        <w:ind w:firstLine="0"/>
        <w:jc w:val="left"/>
      </w:pPr>
      <w:r>
        <w:rPr>
          <w:color w:val="FF0000"/>
        </w:rPr>
        <w:t>The footnotes should be removed before the material is used.</w:t>
      </w:r>
    </w:p>
  </w:footnote>
  <w:footnote w:type="continuationSeparator" w:id="0">
    <w:p w14:paraId="3B145D3C" w14:textId="77777777" w:rsidR="0055021A" w:rsidRDefault="0055021A" w:rsidP="00DD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52826F8"/>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8D021BF4"/>
    <w:lvl w:ilvl="0">
      <w:numFmt w:val="bullet"/>
      <w:lvlText w:val="*"/>
      <w:lvlJc w:val="left"/>
    </w:lvl>
  </w:abstractNum>
  <w:abstractNum w:abstractNumId="2" w15:restartNumberingAfterBreak="0">
    <w:nsid w:val="0BDC2CAC"/>
    <w:multiLevelType w:val="hybridMultilevel"/>
    <w:tmpl w:val="A032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55D2E"/>
    <w:multiLevelType w:val="singleLevel"/>
    <w:tmpl w:val="CC987BE2"/>
    <w:lvl w:ilvl="0">
      <w:start w:val="1"/>
      <w:numFmt w:val="decimal"/>
      <w:lvlText w:val="%1."/>
      <w:legacy w:legacy="1" w:legacySpace="0" w:legacyIndent="360"/>
      <w:lvlJc w:val="left"/>
      <w:pPr>
        <w:ind w:left="720" w:hanging="360"/>
      </w:pPr>
    </w:lvl>
  </w:abstractNum>
  <w:abstractNum w:abstractNumId="4" w15:restartNumberingAfterBreak="0">
    <w:nsid w:val="15DA7BA7"/>
    <w:multiLevelType w:val="singleLevel"/>
    <w:tmpl w:val="637E6884"/>
    <w:lvl w:ilvl="0">
      <w:start w:val="1"/>
      <w:numFmt w:val="decimal"/>
      <w:lvlText w:val="%1."/>
      <w:legacy w:legacy="1" w:legacySpace="0" w:legacyIndent="360"/>
      <w:lvlJc w:val="left"/>
      <w:pPr>
        <w:ind w:left="720" w:hanging="360"/>
      </w:pPr>
    </w:lvl>
  </w:abstractNum>
  <w:abstractNum w:abstractNumId="5" w15:restartNumberingAfterBreak="0">
    <w:nsid w:val="16FC7EF1"/>
    <w:multiLevelType w:val="singleLevel"/>
    <w:tmpl w:val="CC987BE2"/>
    <w:lvl w:ilvl="0">
      <w:start w:val="1"/>
      <w:numFmt w:val="decimal"/>
      <w:lvlText w:val="%1."/>
      <w:legacy w:legacy="1" w:legacySpace="0" w:legacyIndent="360"/>
      <w:lvlJc w:val="left"/>
      <w:pPr>
        <w:ind w:left="720" w:hanging="360"/>
      </w:pPr>
    </w:lvl>
  </w:abstractNum>
  <w:abstractNum w:abstractNumId="6" w15:restartNumberingAfterBreak="0">
    <w:nsid w:val="322E5088"/>
    <w:multiLevelType w:val="hybridMultilevel"/>
    <w:tmpl w:val="916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81B99"/>
    <w:multiLevelType w:val="singleLevel"/>
    <w:tmpl w:val="C7B88140"/>
    <w:lvl w:ilvl="0">
      <w:start w:val="1"/>
      <w:numFmt w:val="lowerLetter"/>
      <w:lvlText w:val="%1."/>
      <w:legacy w:legacy="1" w:legacySpace="0" w:legacyIndent="360"/>
      <w:lvlJc w:val="left"/>
      <w:pPr>
        <w:ind w:left="1080" w:hanging="360"/>
      </w:pPr>
    </w:lvl>
  </w:abstractNum>
  <w:abstractNum w:abstractNumId="8" w15:restartNumberingAfterBreak="0">
    <w:nsid w:val="35221B74"/>
    <w:multiLevelType w:val="singleLevel"/>
    <w:tmpl w:val="637E6884"/>
    <w:lvl w:ilvl="0">
      <w:start w:val="1"/>
      <w:numFmt w:val="decimal"/>
      <w:lvlText w:val="%1."/>
      <w:legacy w:legacy="1" w:legacySpace="0" w:legacyIndent="360"/>
      <w:lvlJc w:val="left"/>
      <w:pPr>
        <w:ind w:left="720" w:hanging="360"/>
      </w:pPr>
    </w:lvl>
  </w:abstractNum>
  <w:abstractNum w:abstractNumId="9" w15:restartNumberingAfterBreak="0">
    <w:nsid w:val="38B243C9"/>
    <w:multiLevelType w:val="singleLevel"/>
    <w:tmpl w:val="C7B88140"/>
    <w:lvl w:ilvl="0">
      <w:start w:val="1"/>
      <w:numFmt w:val="lowerLetter"/>
      <w:lvlText w:val="%1."/>
      <w:legacy w:legacy="1" w:legacySpace="0" w:legacyIndent="360"/>
      <w:lvlJc w:val="left"/>
      <w:pPr>
        <w:ind w:left="1080" w:hanging="360"/>
      </w:pPr>
    </w:lvl>
  </w:abstractNum>
  <w:abstractNum w:abstractNumId="10" w15:restartNumberingAfterBreak="0">
    <w:nsid w:val="3A4C3656"/>
    <w:multiLevelType w:val="singleLevel"/>
    <w:tmpl w:val="CC987BE2"/>
    <w:lvl w:ilvl="0">
      <w:start w:val="1"/>
      <w:numFmt w:val="decimal"/>
      <w:lvlText w:val="%1."/>
      <w:legacy w:legacy="1" w:legacySpace="0" w:legacyIndent="360"/>
      <w:lvlJc w:val="left"/>
      <w:pPr>
        <w:ind w:left="720" w:hanging="360"/>
      </w:pPr>
    </w:lvl>
  </w:abstractNum>
  <w:abstractNum w:abstractNumId="11" w15:restartNumberingAfterBreak="0">
    <w:nsid w:val="488144B6"/>
    <w:multiLevelType w:val="singleLevel"/>
    <w:tmpl w:val="CC987BE2"/>
    <w:lvl w:ilvl="0">
      <w:start w:val="1"/>
      <w:numFmt w:val="decimal"/>
      <w:lvlText w:val="%1."/>
      <w:legacy w:legacy="1" w:legacySpace="0" w:legacyIndent="360"/>
      <w:lvlJc w:val="left"/>
      <w:pPr>
        <w:ind w:left="720" w:hanging="360"/>
      </w:pPr>
    </w:lvl>
  </w:abstractNum>
  <w:abstractNum w:abstractNumId="12" w15:restartNumberingAfterBreak="0">
    <w:nsid w:val="4C120C29"/>
    <w:multiLevelType w:val="singleLevel"/>
    <w:tmpl w:val="5ECC3B08"/>
    <w:lvl w:ilvl="0">
      <w:start w:val="1"/>
      <w:numFmt w:val="upperLetter"/>
      <w:lvlText w:val="%1."/>
      <w:legacy w:legacy="1" w:legacySpace="0" w:legacyIndent="360"/>
      <w:lvlJc w:val="left"/>
      <w:pPr>
        <w:ind w:left="360" w:hanging="360"/>
      </w:pPr>
    </w:lvl>
  </w:abstractNum>
  <w:abstractNum w:abstractNumId="13" w15:restartNumberingAfterBreak="0">
    <w:nsid w:val="68AC4F3B"/>
    <w:multiLevelType w:val="singleLevel"/>
    <w:tmpl w:val="CC987BE2"/>
    <w:lvl w:ilvl="0">
      <w:start w:val="1"/>
      <w:numFmt w:val="decimal"/>
      <w:lvlText w:val="%1."/>
      <w:legacy w:legacy="1" w:legacySpace="0" w:legacyIndent="360"/>
      <w:lvlJc w:val="left"/>
      <w:pPr>
        <w:ind w:left="360" w:hanging="360"/>
      </w:pPr>
    </w:lvl>
  </w:abstractNum>
  <w:abstractNum w:abstractNumId="14" w15:restartNumberingAfterBreak="0">
    <w:nsid w:val="6DD25DD6"/>
    <w:multiLevelType w:val="singleLevel"/>
    <w:tmpl w:val="637E6884"/>
    <w:lvl w:ilvl="0">
      <w:start w:val="1"/>
      <w:numFmt w:val="decimal"/>
      <w:lvlText w:val="%1."/>
      <w:legacy w:legacy="1" w:legacySpace="0" w:legacyIndent="360"/>
      <w:lvlJc w:val="left"/>
      <w:pPr>
        <w:ind w:left="720" w:hanging="360"/>
      </w:pPr>
    </w:lvl>
  </w:abstractNum>
  <w:abstractNum w:abstractNumId="15" w15:restartNumberingAfterBreak="0">
    <w:nsid w:val="76FE3059"/>
    <w:multiLevelType w:val="singleLevel"/>
    <w:tmpl w:val="637E6884"/>
    <w:lvl w:ilvl="0">
      <w:start w:val="1"/>
      <w:numFmt w:val="decimal"/>
      <w:lvlText w:val="%1."/>
      <w:legacy w:legacy="1" w:legacySpace="0" w:legacyIndent="360"/>
      <w:lvlJc w:val="left"/>
      <w:pPr>
        <w:ind w:left="720" w:hanging="360"/>
      </w:pPr>
    </w:lvl>
  </w:abstractNum>
  <w:abstractNum w:abstractNumId="16" w15:restartNumberingAfterBreak="0">
    <w:nsid w:val="799E006F"/>
    <w:multiLevelType w:val="singleLevel"/>
    <w:tmpl w:val="C7B88140"/>
    <w:lvl w:ilvl="0">
      <w:start w:val="1"/>
      <w:numFmt w:val="lowerLetter"/>
      <w:lvlText w:val="%1."/>
      <w:legacy w:legacy="1" w:legacySpace="0" w:legacyIndent="360"/>
      <w:lvlJc w:val="left"/>
      <w:pPr>
        <w:ind w:left="1080" w:hanging="360"/>
      </w:pPr>
    </w:lvl>
  </w:abstractNum>
  <w:abstractNum w:abstractNumId="17" w15:restartNumberingAfterBreak="0">
    <w:nsid w:val="7A891F03"/>
    <w:multiLevelType w:val="singleLevel"/>
    <w:tmpl w:val="5ECC3B08"/>
    <w:lvl w:ilvl="0">
      <w:start w:val="1"/>
      <w:numFmt w:val="upperLetter"/>
      <w:lvlText w:val="%1."/>
      <w:legacy w:legacy="1" w:legacySpace="0" w:legacyIndent="360"/>
      <w:lvlJc w:val="left"/>
      <w:pPr>
        <w:ind w:left="360" w:hanging="360"/>
      </w:pPr>
    </w:lvl>
  </w:abstractNum>
  <w:abstractNum w:abstractNumId="18" w15:restartNumberingAfterBreak="0">
    <w:nsid w:val="7D434C3A"/>
    <w:multiLevelType w:val="hybridMultilevel"/>
    <w:tmpl w:val="171E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5"/>
  </w:num>
  <w:num w:numId="4">
    <w:abstractNumId w:val="8"/>
  </w:num>
  <w:num w:numId="5">
    <w:abstractNumId w:val="14"/>
  </w:num>
  <w:num w:numId="6">
    <w:abstractNumId w:val="4"/>
  </w:num>
  <w:num w:numId="7">
    <w:abstractNumId w:val="16"/>
  </w:num>
  <w:num w:numId="8">
    <w:abstractNumId w:val="9"/>
  </w:num>
  <w:num w:numId="9">
    <w:abstractNumId w:val="2"/>
  </w:num>
  <w:num w:numId="10">
    <w:abstractNumId w:val="6"/>
  </w:num>
  <w:num w:numId="11">
    <w:abstractNumId w:val="11"/>
  </w:num>
  <w:num w:numId="1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5"/>
  </w:num>
  <w:num w:numId="14">
    <w:abstractNumId w:val="7"/>
  </w:num>
  <w:num w:numId="15">
    <w:abstractNumId w:val="3"/>
  </w:num>
  <w:num w:numId="16">
    <w:abstractNumId w:val="10"/>
  </w:num>
  <w:num w:numId="17">
    <w:abstractNumId w:val="1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17"/>
    <w:rsid w:val="0001455F"/>
    <w:rsid w:val="00033D20"/>
    <w:rsid w:val="00075834"/>
    <w:rsid w:val="00091EEE"/>
    <w:rsid w:val="000C5B32"/>
    <w:rsid w:val="00111982"/>
    <w:rsid w:val="00114898"/>
    <w:rsid w:val="00141A97"/>
    <w:rsid w:val="0015749C"/>
    <w:rsid w:val="00184700"/>
    <w:rsid w:val="00185082"/>
    <w:rsid w:val="001A588B"/>
    <w:rsid w:val="001A733D"/>
    <w:rsid w:val="001D1595"/>
    <w:rsid w:val="001F5C39"/>
    <w:rsid w:val="002114CA"/>
    <w:rsid w:val="002564E2"/>
    <w:rsid w:val="002913D2"/>
    <w:rsid w:val="00294F56"/>
    <w:rsid w:val="003676BF"/>
    <w:rsid w:val="00395FB0"/>
    <w:rsid w:val="003D0875"/>
    <w:rsid w:val="003D7961"/>
    <w:rsid w:val="003E6B3F"/>
    <w:rsid w:val="003F2DBA"/>
    <w:rsid w:val="00481A4B"/>
    <w:rsid w:val="004A684C"/>
    <w:rsid w:val="004D5064"/>
    <w:rsid w:val="004E4303"/>
    <w:rsid w:val="004F3E2B"/>
    <w:rsid w:val="00547829"/>
    <w:rsid w:val="0055021A"/>
    <w:rsid w:val="005E342A"/>
    <w:rsid w:val="005E736C"/>
    <w:rsid w:val="005E7A6F"/>
    <w:rsid w:val="00644C7D"/>
    <w:rsid w:val="00692107"/>
    <w:rsid w:val="006C2A98"/>
    <w:rsid w:val="006E3538"/>
    <w:rsid w:val="007600E2"/>
    <w:rsid w:val="0079050D"/>
    <w:rsid w:val="007A06E8"/>
    <w:rsid w:val="007A473D"/>
    <w:rsid w:val="007B6FAC"/>
    <w:rsid w:val="007E0863"/>
    <w:rsid w:val="00804944"/>
    <w:rsid w:val="008149BC"/>
    <w:rsid w:val="0083366C"/>
    <w:rsid w:val="008746D9"/>
    <w:rsid w:val="008C0BD3"/>
    <w:rsid w:val="008D03E1"/>
    <w:rsid w:val="008E362C"/>
    <w:rsid w:val="008F6E9C"/>
    <w:rsid w:val="0099149E"/>
    <w:rsid w:val="009C0BB2"/>
    <w:rsid w:val="009D3FF1"/>
    <w:rsid w:val="009D7CAD"/>
    <w:rsid w:val="009E53F4"/>
    <w:rsid w:val="00A012EA"/>
    <w:rsid w:val="00A74B49"/>
    <w:rsid w:val="00AD6045"/>
    <w:rsid w:val="00B02EF7"/>
    <w:rsid w:val="00B2624A"/>
    <w:rsid w:val="00B55EE5"/>
    <w:rsid w:val="00B735C0"/>
    <w:rsid w:val="00BB0A5F"/>
    <w:rsid w:val="00CA2344"/>
    <w:rsid w:val="00CB17EB"/>
    <w:rsid w:val="00CB19A8"/>
    <w:rsid w:val="00CC1DC3"/>
    <w:rsid w:val="00D109AC"/>
    <w:rsid w:val="00D1575B"/>
    <w:rsid w:val="00D226D4"/>
    <w:rsid w:val="00D52238"/>
    <w:rsid w:val="00D614F5"/>
    <w:rsid w:val="00D620A4"/>
    <w:rsid w:val="00DC2B67"/>
    <w:rsid w:val="00DC66E5"/>
    <w:rsid w:val="00DD3817"/>
    <w:rsid w:val="00DD7F89"/>
    <w:rsid w:val="00E1336D"/>
    <w:rsid w:val="00E14812"/>
    <w:rsid w:val="00E33598"/>
    <w:rsid w:val="00E61644"/>
    <w:rsid w:val="00EB5078"/>
    <w:rsid w:val="00EC7F61"/>
    <w:rsid w:val="00ED5267"/>
    <w:rsid w:val="00ED5B63"/>
    <w:rsid w:val="00EE13CA"/>
    <w:rsid w:val="00F33095"/>
    <w:rsid w:val="00F44A4E"/>
    <w:rsid w:val="00F4641F"/>
    <w:rsid w:val="00F47DE6"/>
    <w:rsid w:val="00F55727"/>
    <w:rsid w:val="00F654C7"/>
    <w:rsid w:val="00F66D18"/>
    <w:rsid w:val="00F765A9"/>
    <w:rsid w:val="00F85F1F"/>
    <w:rsid w:val="00FA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632D"/>
  <w15:chartTrackingRefBased/>
  <w15:docId w15:val="{D6CE15DA-3990-4A63-9995-20EA76EE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817"/>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DD3817"/>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DD3817"/>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817"/>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DD3817"/>
    <w:rPr>
      <w:rFonts w:ascii="Arial" w:eastAsia="Times New Roman" w:hAnsi="Arial" w:cs="Times New Roman"/>
      <w:b/>
      <w:kern w:val="28"/>
      <w:szCs w:val="20"/>
      <w:u w:val="single"/>
    </w:rPr>
  </w:style>
  <w:style w:type="paragraph" w:styleId="Header">
    <w:name w:val="header"/>
    <w:basedOn w:val="Normal"/>
    <w:link w:val="HeaderChar"/>
    <w:rsid w:val="00DD3817"/>
    <w:pPr>
      <w:tabs>
        <w:tab w:val="center" w:pos="4320"/>
        <w:tab w:val="right" w:pos="8640"/>
      </w:tabs>
    </w:pPr>
  </w:style>
  <w:style w:type="character" w:customStyle="1" w:styleId="HeaderChar">
    <w:name w:val="Header Char"/>
    <w:basedOn w:val="DefaultParagraphFont"/>
    <w:link w:val="Header"/>
    <w:rsid w:val="00DD3817"/>
    <w:rPr>
      <w:rFonts w:ascii="Times New Roman" w:eastAsia="Times New Roman" w:hAnsi="Times New Roman" w:cs="Times New Roman"/>
      <w:kern w:val="28"/>
      <w:szCs w:val="20"/>
    </w:rPr>
  </w:style>
  <w:style w:type="paragraph" w:styleId="Footer">
    <w:name w:val="footer"/>
    <w:basedOn w:val="Normal"/>
    <w:link w:val="FooterChar"/>
    <w:rsid w:val="00DD3817"/>
    <w:pPr>
      <w:tabs>
        <w:tab w:val="center" w:pos="4320"/>
        <w:tab w:val="right" w:pos="8640"/>
      </w:tabs>
    </w:pPr>
  </w:style>
  <w:style w:type="character" w:customStyle="1" w:styleId="FooterChar">
    <w:name w:val="Footer Char"/>
    <w:basedOn w:val="DefaultParagraphFont"/>
    <w:link w:val="Footer"/>
    <w:rsid w:val="00DD3817"/>
    <w:rPr>
      <w:rFonts w:ascii="Times New Roman" w:eastAsia="Times New Roman" w:hAnsi="Times New Roman" w:cs="Times New Roman"/>
      <w:kern w:val="28"/>
      <w:szCs w:val="20"/>
    </w:rPr>
  </w:style>
  <w:style w:type="paragraph" w:styleId="BodyText">
    <w:name w:val="Body Text"/>
    <w:basedOn w:val="Normal"/>
    <w:link w:val="BodyTextChar"/>
    <w:rsid w:val="00DD3817"/>
    <w:pPr>
      <w:spacing w:before="60" w:after="60"/>
      <w:jc w:val="both"/>
    </w:pPr>
  </w:style>
  <w:style w:type="character" w:customStyle="1" w:styleId="BodyTextChar">
    <w:name w:val="Body Text Char"/>
    <w:basedOn w:val="DefaultParagraphFont"/>
    <w:link w:val="BodyText"/>
    <w:rsid w:val="00DD3817"/>
    <w:rPr>
      <w:rFonts w:ascii="Times New Roman" w:eastAsia="Times New Roman" w:hAnsi="Times New Roman" w:cs="Times New Roman"/>
      <w:kern w:val="28"/>
      <w:szCs w:val="20"/>
    </w:rPr>
  </w:style>
  <w:style w:type="paragraph" w:styleId="FootnoteText">
    <w:name w:val="footnote text"/>
    <w:basedOn w:val="Normal"/>
    <w:link w:val="FootnoteTextChar"/>
    <w:semiHidden/>
    <w:rsid w:val="00DD3817"/>
    <w:pPr>
      <w:keepLines/>
      <w:ind w:firstLine="360"/>
      <w:jc w:val="both"/>
    </w:pPr>
    <w:rPr>
      <w:sz w:val="18"/>
    </w:rPr>
  </w:style>
  <w:style w:type="character" w:customStyle="1" w:styleId="FootnoteTextChar">
    <w:name w:val="Footnote Text Char"/>
    <w:basedOn w:val="DefaultParagraphFont"/>
    <w:link w:val="FootnoteText"/>
    <w:rsid w:val="00DD3817"/>
    <w:rPr>
      <w:rFonts w:ascii="Times New Roman" w:eastAsia="Times New Roman" w:hAnsi="Times New Roman" w:cs="Times New Roman"/>
      <w:kern w:val="28"/>
      <w:sz w:val="18"/>
      <w:szCs w:val="20"/>
    </w:rPr>
  </w:style>
  <w:style w:type="character" w:styleId="FootnoteReference">
    <w:name w:val="footnote reference"/>
    <w:semiHidden/>
    <w:rsid w:val="00DD3817"/>
    <w:rPr>
      <w:b/>
      <w:position w:val="2"/>
      <w:sz w:val="18"/>
    </w:rPr>
  </w:style>
  <w:style w:type="paragraph" w:customStyle="1" w:styleId="BULLET">
    <w:name w:val="BULLET"/>
    <w:basedOn w:val="Normal"/>
    <w:link w:val="BULLETChar"/>
    <w:rsid w:val="00DD3817"/>
    <w:pPr>
      <w:ind w:left="1080" w:hanging="360"/>
      <w:jc w:val="both"/>
    </w:pPr>
  </w:style>
  <w:style w:type="paragraph" w:styleId="List2">
    <w:name w:val="List 2"/>
    <w:basedOn w:val="Normal"/>
    <w:rsid w:val="00DD3817"/>
    <w:pPr>
      <w:ind w:left="720" w:hanging="360"/>
      <w:jc w:val="both"/>
    </w:pPr>
  </w:style>
  <w:style w:type="paragraph" w:customStyle="1" w:styleId="LISTALPHADOUBLE">
    <w:name w:val="LIST ALPHA DOUBLE"/>
    <w:basedOn w:val="Normal"/>
    <w:next w:val="Normal"/>
    <w:rsid w:val="00DD3817"/>
    <w:pPr>
      <w:spacing w:before="60" w:after="60"/>
      <w:ind w:left="360" w:hanging="360"/>
      <w:jc w:val="both"/>
    </w:pPr>
  </w:style>
  <w:style w:type="paragraph" w:customStyle="1" w:styleId="ListAlphaLower">
    <w:name w:val="List Alpha Lower"/>
    <w:basedOn w:val="Normal"/>
    <w:rsid w:val="00DD3817"/>
    <w:pPr>
      <w:ind w:left="1080" w:hanging="360"/>
      <w:jc w:val="both"/>
    </w:pPr>
  </w:style>
  <w:style w:type="paragraph" w:styleId="ListNumber2">
    <w:name w:val="List Number 2"/>
    <w:basedOn w:val="Normal"/>
    <w:uiPriority w:val="99"/>
    <w:rsid w:val="00DD3817"/>
    <w:pPr>
      <w:ind w:left="720" w:hanging="360"/>
      <w:jc w:val="both"/>
    </w:pPr>
  </w:style>
  <w:style w:type="paragraph" w:customStyle="1" w:styleId="LISTNUMBERDOUBLE">
    <w:name w:val="LIST NUMBER DOUBLE"/>
    <w:basedOn w:val="ListNumber2"/>
    <w:rsid w:val="00DD3817"/>
    <w:pPr>
      <w:spacing w:before="60" w:after="60"/>
    </w:pPr>
  </w:style>
  <w:style w:type="paragraph" w:customStyle="1" w:styleId="SUBHEADING">
    <w:name w:val="SUBHEADING"/>
    <w:basedOn w:val="Normal"/>
    <w:next w:val="BodyText"/>
    <w:link w:val="SUBHEADINGChar"/>
    <w:rsid w:val="00DD3817"/>
    <w:pPr>
      <w:keepNext/>
      <w:spacing w:before="120" w:after="60"/>
    </w:pPr>
    <w:rPr>
      <w:u w:val="single"/>
    </w:rPr>
  </w:style>
  <w:style w:type="character" w:styleId="Hyperlink">
    <w:name w:val="Hyperlink"/>
    <w:rsid w:val="00DD3817"/>
    <w:rPr>
      <w:color w:val="0000FF"/>
      <w:u w:val="single"/>
    </w:rPr>
  </w:style>
  <w:style w:type="paragraph" w:customStyle="1" w:styleId="Default">
    <w:name w:val="Default"/>
    <w:rsid w:val="00DD3817"/>
    <w:pPr>
      <w:autoSpaceDE w:val="0"/>
      <w:autoSpaceDN w:val="0"/>
      <w:adjustRightInd w:val="0"/>
      <w:spacing w:after="0" w:line="240" w:lineRule="auto"/>
    </w:pPr>
    <w:rPr>
      <w:rFonts w:ascii="Symbol" w:eastAsia="Times New Roman" w:hAnsi="Symbol" w:cs="Symbol"/>
      <w:color w:val="000000"/>
      <w:sz w:val="24"/>
      <w:szCs w:val="24"/>
    </w:rPr>
  </w:style>
  <w:style w:type="paragraph" w:styleId="ListNumber">
    <w:name w:val="List Number"/>
    <w:basedOn w:val="Normal"/>
    <w:uiPriority w:val="99"/>
    <w:semiHidden/>
    <w:unhideWhenUsed/>
    <w:rsid w:val="00ED5267"/>
    <w:pPr>
      <w:numPr>
        <w:numId w:val="18"/>
      </w:numPr>
      <w:contextualSpacing/>
    </w:pPr>
  </w:style>
  <w:style w:type="character" w:styleId="CommentReference">
    <w:name w:val="annotation reference"/>
    <w:basedOn w:val="DefaultParagraphFont"/>
    <w:uiPriority w:val="99"/>
    <w:semiHidden/>
    <w:unhideWhenUsed/>
    <w:rsid w:val="0079050D"/>
    <w:rPr>
      <w:sz w:val="16"/>
      <w:szCs w:val="16"/>
    </w:rPr>
  </w:style>
  <w:style w:type="paragraph" w:styleId="CommentText">
    <w:name w:val="annotation text"/>
    <w:basedOn w:val="Normal"/>
    <w:link w:val="CommentTextChar"/>
    <w:uiPriority w:val="99"/>
    <w:semiHidden/>
    <w:unhideWhenUsed/>
    <w:rsid w:val="0079050D"/>
    <w:rPr>
      <w:sz w:val="20"/>
    </w:rPr>
  </w:style>
  <w:style w:type="character" w:customStyle="1" w:styleId="CommentTextChar">
    <w:name w:val="Comment Text Char"/>
    <w:basedOn w:val="DefaultParagraphFont"/>
    <w:link w:val="CommentText"/>
    <w:uiPriority w:val="99"/>
    <w:semiHidden/>
    <w:rsid w:val="0079050D"/>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79050D"/>
    <w:rPr>
      <w:b/>
      <w:bCs/>
    </w:rPr>
  </w:style>
  <w:style w:type="character" w:customStyle="1" w:styleId="CommentSubjectChar">
    <w:name w:val="Comment Subject Char"/>
    <w:basedOn w:val="CommentTextChar"/>
    <w:link w:val="CommentSubject"/>
    <w:uiPriority w:val="99"/>
    <w:semiHidden/>
    <w:rsid w:val="0079050D"/>
    <w:rPr>
      <w:rFonts w:ascii="Times New Roman" w:eastAsia="Times New Roman" w:hAnsi="Times New Roman" w:cs="Times New Roman"/>
      <w:b/>
      <w:bCs/>
      <w:kern w:val="28"/>
      <w:sz w:val="20"/>
      <w:szCs w:val="20"/>
    </w:rPr>
  </w:style>
  <w:style w:type="paragraph" w:styleId="BalloonText">
    <w:name w:val="Balloon Text"/>
    <w:basedOn w:val="Normal"/>
    <w:link w:val="BalloonTextChar"/>
    <w:uiPriority w:val="99"/>
    <w:semiHidden/>
    <w:unhideWhenUsed/>
    <w:rsid w:val="0079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0D"/>
    <w:rPr>
      <w:rFonts w:ascii="Segoe UI" w:eastAsia="Times New Roman" w:hAnsi="Segoe UI" w:cs="Segoe UI"/>
      <w:kern w:val="28"/>
      <w:sz w:val="18"/>
      <w:szCs w:val="18"/>
    </w:rPr>
  </w:style>
  <w:style w:type="character" w:styleId="FollowedHyperlink">
    <w:name w:val="FollowedHyperlink"/>
    <w:basedOn w:val="DefaultParagraphFont"/>
    <w:uiPriority w:val="99"/>
    <w:semiHidden/>
    <w:unhideWhenUsed/>
    <w:rsid w:val="00FA5D1A"/>
    <w:rPr>
      <w:color w:val="954F72" w:themeColor="followedHyperlink"/>
      <w:u w:val="single"/>
    </w:rPr>
  </w:style>
  <w:style w:type="character" w:customStyle="1" w:styleId="SUBHEADINGChar">
    <w:name w:val="SUBHEADING Char"/>
    <w:link w:val="SUBHEADING"/>
    <w:rsid w:val="00F4641F"/>
    <w:rPr>
      <w:rFonts w:ascii="Times New Roman" w:eastAsia="Times New Roman" w:hAnsi="Times New Roman" w:cs="Times New Roman"/>
      <w:kern w:val="28"/>
      <w:szCs w:val="20"/>
      <w:u w:val="single"/>
    </w:rPr>
  </w:style>
  <w:style w:type="character" w:customStyle="1" w:styleId="BULLETChar">
    <w:name w:val="BULLET Char"/>
    <w:link w:val="BULLET"/>
    <w:rsid w:val="00F4641F"/>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ready/plan/Pages/School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4389-DC7F-4C0A-92E9-E919356D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Brotine</dc:creator>
  <cp:keywords/>
  <dc:description/>
  <cp:lastModifiedBy>Lisa Bell</cp:lastModifiedBy>
  <cp:revision>3</cp:revision>
  <cp:lastPrinted>2020-02-12T19:21:00Z</cp:lastPrinted>
  <dcterms:created xsi:type="dcterms:W3CDTF">2020-02-12T19:21:00Z</dcterms:created>
  <dcterms:modified xsi:type="dcterms:W3CDTF">2023-01-20T15:24:00Z</dcterms:modified>
</cp:coreProperties>
</file>