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B7" w:rsidRDefault="00F15BB7" w:rsidP="00F15BB7">
      <w:pPr>
        <w:pBdr>
          <w:bottom w:val="single" w:sz="4" w:space="1" w:color="auto"/>
        </w:pBdr>
        <w:tabs>
          <w:tab w:val="right" w:pos="9000"/>
        </w:tabs>
      </w:pPr>
      <w:r>
        <w:rPr>
          <w:noProof/>
        </w:rPr>
        <w:t>August 2020</w:t>
      </w:r>
      <w:r>
        <w:tab/>
        <w:t>7:185</w:t>
      </w:r>
    </w:p>
    <w:p w:rsidR="00F15BB7" w:rsidRDefault="00F15BB7" w:rsidP="00F15BB7">
      <w:pPr>
        <w:tabs>
          <w:tab w:val="right" w:pos="9000"/>
        </w:tabs>
      </w:pPr>
    </w:p>
    <w:p w:rsidR="00F15BB7" w:rsidRDefault="00F15BB7" w:rsidP="00F15BB7">
      <w:pPr>
        <w:pStyle w:val="Heading1"/>
      </w:pPr>
      <w:r>
        <w:t>Students</w:t>
      </w:r>
    </w:p>
    <w:p w:rsidR="00F15BB7" w:rsidRPr="00071608" w:rsidRDefault="00F15BB7" w:rsidP="00F15BB7">
      <w:pPr>
        <w:pStyle w:val="Heading2"/>
      </w:pPr>
      <w:r w:rsidRPr="00071608">
        <w:t>Teen Dating Violence Prohibited</w:t>
      </w:r>
      <w:r w:rsidRPr="00071608">
        <w:rPr>
          <w:u w:val="none"/>
        </w:rPr>
        <w:t xml:space="preserve"> </w:t>
      </w:r>
    </w:p>
    <w:p w:rsidR="00F15BB7" w:rsidRDefault="00F15BB7" w:rsidP="00F15BB7">
      <w:pPr>
        <w:pStyle w:val="BodyText"/>
      </w:pPr>
      <w:r w:rsidRPr="00942BC4">
        <w:t xml:space="preserve">Engaging in teen dating violence </w:t>
      </w:r>
      <w:r>
        <w:t xml:space="preserve">that takes place at school, on school property, at school-sponsored activities, or in vehicles used for school-provided transportation </w:t>
      </w:r>
      <w:r w:rsidRPr="00942BC4">
        <w:t>is prohibited.</w:t>
      </w:r>
      <w:r>
        <w:t xml:space="preserve"> For purposes of this policy, the term </w:t>
      </w:r>
      <w:r w:rsidRPr="00B52F37">
        <w:rPr>
          <w:i/>
        </w:rPr>
        <w:t>teen dating violence</w:t>
      </w:r>
      <w:r>
        <w:t xml:space="preserve"> occurs whenever a student who is 13 to 19 years of age </w:t>
      </w:r>
      <w:r w:rsidRPr="00B52F37">
        <w:t xml:space="preserve">uses or threatens to use physical, mental, or emotional abuse to control </w:t>
      </w:r>
      <w:r>
        <w:t xml:space="preserve">an individual in the </w:t>
      </w:r>
      <w:r w:rsidRPr="00B52F37">
        <w:t>dating relationship</w:t>
      </w:r>
      <w:r>
        <w:t xml:space="preserve">; or </w:t>
      </w:r>
      <w:r w:rsidRPr="00B52F37">
        <w:t>use</w:t>
      </w:r>
      <w:r>
        <w:t>s</w:t>
      </w:r>
      <w:r w:rsidRPr="00B52F37">
        <w:t xml:space="preserve"> or threat</w:t>
      </w:r>
      <w:r>
        <w:t>ens</w:t>
      </w:r>
      <w:r w:rsidRPr="00B52F37">
        <w:t xml:space="preserve"> to use sexual violence </w:t>
      </w:r>
      <w:r>
        <w:t xml:space="preserve">in the </w:t>
      </w:r>
      <w:r w:rsidRPr="00B52F37">
        <w:t>dating relationship</w:t>
      </w:r>
      <w:r>
        <w:t xml:space="preserve">. </w:t>
      </w:r>
    </w:p>
    <w:p w:rsidR="00F15BB7" w:rsidRPr="00942BC4" w:rsidRDefault="00F15BB7" w:rsidP="00F15BB7">
      <w:pPr>
        <w:pStyle w:val="BodyText"/>
      </w:pPr>
      <w:r w:rsidRPr="00942BC4">
        <w:t xml:space="preserve">The Superintendent or designee shall develop and maintain a program </w:t>
      </w:r>
      <w:r>
        <w:t xml:space="preserve">to respond to incidents of teen dating violence </w:t>
      </w:r>
      <w:r w:rsidRPr="00942BC4">
        <w:t>that:</w:t>
      </w:r>
      <w:r>
        <w:t xml:space="preserve"> </w:t>
      </w:r>
    </w:p>
    <w:p w:rsidR="00F15BB7" w:rsidRPr="00942BC4" w:rsidRDefault="00F15BB7" w:rsidP="00F15BB7">
      <w:pPr>
        <w:pStyle w:val="LISTNUMBERDOUBLE"/>
        <w:numPr>
          <w:ilvl w:val="0"/>
          <w:numId w:val="3"/>
        </w:numPr>
      </w:pPr>
      <w:r w:rsidRPr="00942BC4">
        <w:t xml:space="preserve">Fully implements and enforces each of the following Board policies: </w:t>
      </w:r>
    </w:p>
    <w:p w:rsidR="00F15BB7" w:rsidRDefault="00F15BB7" w:rsidP="00F15BB7">
      <w:pPr>
        <w:pStyle w:val="ListAlphaLower"/>
        <w:numPr>
          <w:ilvl w:val="0"/>
          <w:numId w:val="1"/>
        </w:numPr>
        <w:spacing w:before="60" w:after="60"/>
      </w:pPr>
      <w:r>
        <w:t xml:space="preserve">2:260, </w:t>
      </w:r>
      <w:r>
        <w:rPr>
          <w:i/>
        </w:rPr>
        <w:t>Uniform Grievance Procedure</w:t>
      </w:r>
      <w:r>
        <w:t>. This policy provides a method for any student, parent/guardian, employee, or community member to file a complaint if he or she believes that the School Board, its employees, or its agents have violated his or her rights under the State or federal Constitution, State or federal statute, Board policy, or various enumerated bases.</w:t>
      </w:r>
    </w:p>
    <w:p w:rsidR="00F15BB7" w:rsidRDefault="00F15BB7" w:rsidP="00F15BB7">
      <w:pPr>
        <w:pStyle w:val="ListAlphaLower"/>
        <w:numPr>
          <w:ilvl w:val="0"/>
          <w:numId w:val="1"/>
        </w:numPr>
        <w:spacing w:before="60" w:after="60"/>
      </w:pPr>
      <w:r>
        <w:t xml:space="preserve">2:265, </w:t>
      </w:r>
      <w:r>
        <w:rPr>
          <w:i/>
        </w:rPr>
        <w:t>Title IX Sexual Harassment Grievance Procedure</w:t>
      </w:r>
      <w:r>
        <w:t>. This policy prohibits any person from engaging in sexual harassment in violation of Title IX of the Education Amendments of 1972. Prohibited conduct includes but is not limited to sexual assault, dating violence, domestic violence, and stalking.</w:t>
      </w:r>
    </w:p>
    <w:p w:rsidR="00F15BB7" w:rsidRPr="00942BC4" w:rsidRDefault="00F15BB7" w:rsidP="00F15BB7">
      <w:pPr>
        <w:pStyle w:val="ListAlphaLower"/>
        <w:numPr>
          <w:ilvl w:val="0"/>
          <w:numId w:val="1"/>
        </w:numPr>
        <w:spacing w:before="60" w:after="60"/>
      </w:pPr>
      <w:r w:rsidRPr="00942BC4">
        <w:t xml:space="preserve">7:20, </w:t>
      </w:r>
      <w:r w:rsidRPr="00942BC4">
        <w:rPr>
          <w:i/>
        </w:rPr>
        <w:t>Harassment of Students Prohibited</w:t>
      </w:r>
      <w:r w:rsidRPr="00942BC4">
        <w:t>. This policy prohibits any person from harassing intimidating, or bullying a student based on</w:t>
      </w:r>
      <w:r>
        <w:t xml:space="preserve"> the</w:t>
      </w:r>
      <w:r w:rsidRPr="00942BC4">
        <w:t xml:space="preserve"> </w:t>
      </w:r>
      <w:r>
        <w:t xml:space="preserve">student’s </w:t>
      </w:r>
      <w:r w:rsidRPr="00942BC4">
        <w:t>actual or perceived characteristic</w:t>
      </w:r>
      <w:r>
        <w:t>s of</w:t>
      </w:r>
      <w:r w:rsidRPr="005A5864">
        <w:t xml:space="preserve"> sex; sexual orientation; gender identity; </w:t>
      </w:r>
      <w:r>
        <w:t xml:space="preserve">and </w:t>
      </w:r>
      <w:r w:rsidRPr="005A5864">
        <w:t>gende</w:t>
      </w:r>
      <w:r>
        <w:t>r-related identity or expression (this policy includes more protected statuses).</w:t>
      </w:r>
    </w:p>
    <w:p w:rsidR="00F15BB7" w:rsidRDefault="00F15BB7" w:rsidP="00F15BB7">
      <w:pPr>
        <w:pStyle w:val="ListAlphaLower"/>
        <w:numPr>
          <w:ilvl w:val="0"/>
          <w:numId w:val="1"/>
        </w:numPr>
        <w:spacing w:before="60" w:after="60"/>
      </w:pPr>
      <w:r w:rsidRPr="00942BC4">
        <w:t>7:1</w:t>
      </w:r>
      <w:r>
        <w:t>80</w:t>
      </w:r>
      <w:r w:rsidRPr="00942BC4">
        <w:t xml:space="preserve">, </w:t>
      </w:r>
      <w:r>
        <w:rPr>
          <w:i/>
        </w:rPr>
        <w:t>Prevention of and Response to</w:t>
      </w:r>
      <w:r w:rsidRPr="000B3A9F">
        <w:rPr>
          <w:i/>
        </w:rPr>
        <w:t xml:space="preserve"> Bullying, Intimidation, and Harassment</w:t>
      </w:r>
      <w:r>
        <w:t xml:space="preserve">. </w:t>
      </w:r>
      <w:r w:rsidRPr="00942BC4">
        <w:t>This policy prohibits students from engaging</w:t>
      </w:r>
      <w:r w:rsidRPr="000B3A9F">
        <w:t xml:space="preserve"> </w:t>
      </w:r>
      <w:r>
        <w:t>in b</w:t>
      </w:r>
      <w:r w:rsidRPr="000B3A9F">
        <w:t>ullying, intimidation, and harassment</w:t>
      </w:r>
      <w:r>
        <w:t xml:space="preserve"> at school, school-related events and electronically. P</w:t>
      </w:r>
      <w:r w:rsidRPr="00942BC4">
        <w:t xml:space="preserve">rohibited conduct includes </w:t>
      </w:r>
      <w:r w:rsidRPr="00077E91">
        <w:t>threats, stalking, physical violence, sexual harassment, sexual violence, theft, public humiliation, destruction of property, or retaliation for asserting</w:t>
      </w:r>
      <w:r>
        <w:t xml:space="preserve"> or alleging an act of bullying</w:t>
      </w:r>
      <w:r w:rsidRPr="00942BC4">
        <w:t>.</w:t>
      </w:r>
    </w:p>
    <w:p w:rsidR="00F15BB7" w:rsidRDefault="00F15BB7" w:rsidP="00F15BB7">
      <w:pPr>
        <w:pStyle w:val="LISTNUMBERDOUBLE"/>
        <w:numPr>
          <w:ilvl w:val="0"/>
          <w:numId w:val="3"/>
        </w:numPr>
      </w:pPr>
      <w:r w:rsidRPr="00942BC4">
        <w:t>E</w:t>
      </w:r>
      <w:r>
        <w:t>ncourages an</w:t>
      </w:r>
      <w:r w:rsidRPr="00942BC4">
        <w:t xml:space="preserve">yone </w:t>
      </w:r>
      <w:r>
        <w:t xml:space="preserve">with information about incidents of teen dating violence </w:t>
      </w:r>
      <w:r w:rsidRPr="00942BC4">
        <w:t xml:space="preserve">to report </w:t>
      </w:r>
      <w:r>
        <w:t>them t</w:t>
      </w:r>
      <w:r w:rsidRPr="00942BC4">
        <w:t>o</w:t>
      </w:r>
      <w:r>
        <w:t xml:space="preserve"> any of the following individuals: </w:t>
      </w:r>
    </w:p>
    <w:p w:rsidR="00F15BB7" w:rsidRDefault="00F15BB7" w:rsidP="00F15BB7">
      <w:pPr>
        <w:pStyle w:val="ListAlphaLower"/>
        <w:numPr>
          <w:ilvl w:val="0"/>
          <w:numId w:val="2"/>
        </w:numPr>
        <w:spacing w:before="60" w:after="60"/>
      </w:pPr>
      <w:r>
        <w:t>Any school staff member</w:t>
      </w:r>
      <w:r w:rsidRPr="00942BC4">
        <w:t>.</w:t>
      </w:r>
      <w:r>
        <w:t xml:space="preserve"> School staff shall respond to incidents of teen dating violence by following the District’s established procedures for the prevention, identification, investigation, and response to bullying and school violence. </w:t>
      </w:r>
    </w:p>
    <w:p w:rsidR="00F15BB7" w:rsidRDefault="00F15BB7" w:rsidP="00F15BB7">
      <w:pPr>
        <w:pStyle w:val="ListAlphaLower"/>
        <w:numPr>
          <w:ilvl w:val="0"/>
          <w:numId w:val="2"/>
        </w:numPr>
        <w:spacing w:before="60" w:after="60"/>
      </w:pPr>
      <w:r>
        <w:t>T</w:t>
      </w:r>
      <w:r w:rsidRPr="002B77B3">
        <w:t xml:space="preserve">he </w:t>
      </w:r>
      <w:r w:rsidRPr="00750B25">
        <w:t xml:space="preserve">Nondiscrimination Coordinator, Building Principal, Assistant Building Principal, Dean of Students, or a Complaint Manager </w:t>
      </w:r>
      <w:r>
        <w:t xml:space="preserve">identified in policy </w:t>
      </w:r>
      <w:r w:rsidRPr="00942BC4">
        <w:t>7:20</w:t>
      </w:r>
      <w:r>
        <w:t xml:space="preserve">, </w:t>
      </w:r>
      <w:r w:rsidRPr="00B47354">
        <w:rPr>
          <w:i/>
        </w:rPr>
        <w:t>Harassment of Students Prohibited</w:t>
      </w:r>
      <w:r>
        <w:t xml:space="preserve">. </w:t>
      </w:r>
    </w:p>
    <w:p w:rsidR="00F15BB7" w:rsidRDefault="00F15BB7" w:rsidP="00F15BB7">
      <w:pPr>
        <w:pStyle w:val="LISTNUMBERDOUBLE"/>
        <w:numPr>
          <w:ilvl w:val="0"/>
          <w:numId w:val="3"/>
        </w:numPr>
      </w:pPr>
      <w:r w:rsidRPr="006C7AA7">
        <w:t>In</w:t>
      </w:r>
      <w:r>
        <w:t xml:space="preserve">corporates age-appropriate instruction in </w:t>
      </w:r>
      <w:r w:rsidRPr="006C7AA7">
        <w:t xml:space="preserve">grades </w:t>
      </w:r>
      <w:r>
        <w:t xml:space="preserve">7 through 12, </w:t>
      </w:r>
      <w:r w:rsidRPr="006C7AA7">
        <w:t xml:space="preserve">in accordance </w:t>
      </w:r>
      <w:r>
        <w:t xml:space="preserve">with the District’s comprehensive health education program in </w:t>
      </w:r>
      <w:r w:rsidRPr="006C7AA7">
        <w:t xml:space="preserve">Board policy 6:60, </w:t>
      </w:r>
      <w:r w:rsidRPr="006C7AA7">
        <w:rPr>
          <w:i/>
        </w:rPr>
        <w:t>Curriculum Content</w:t>
      </w:r>
      <w:r>
        <w:t xml:space="preserve">. </w:t>
      </w:r>
      <w:r w:rsidRPr="006C7AA7">
        <w:t xml:space="preserve">This includes incorporating student social and emotional development into the District’s educational program as required by State law and in alignment with Board policy 6:65, </w:t>
      </w:r>
      <w:r w:rsidRPr="006C7AA7">
        <w:rPr>
          <w:i/>
        </w:rPr>
        <w:t>Student Social and Emotional Development</w:t>
      </w:r>
      <w:r>
        <w:t xml:space="preserve">. </w:t>
      </w:r>
    </w:p>
    <w:p w:rsidR="00F15BB7" w:rsidRDefault="00F15BB7" w:rsidP="00F15BB7">
      <w:pPr>
        <w:pStyle w:val="LISTNUMBERDOUBLE"/>
        <w:numPr>
          <w:ilvl w:val="0"/>
          <w:numId w:val="3"/>
        </w:numPr>
      </w:pPr>
      <w:r>
        <w:t xml:space="preserve">Incorporates education for school staff, as recommended by the </w:t>
      </w:r>
      <w:r w:rsidRPr="00514889">
        <w:t>Nondiscrimination Coordinator, Building Principal, Assistant Building Principal, Dean of Students, or a Complaint Manager</w:t>
      </w:r>
      <w:r>
        <w:t xml:space="preserve">. </w:t>
      </w:r>
    </w:p>
    <w:p w:rsidR="00F15BB7" w:rsidRPr="00942BC4" w:rsidRDefault="00F15BB7" w:rsidP="00F15BB7">
      <w:pPr>
        <w:pStyle w:val="LISTNUMBERDOUBLE"/>
        <w:numPr>
          <w:ilvl w:val="0"/>
          <w:numId w:val="3"/>
        </w:numPr>
      </w:pPr>
      <w:r>
        <w:t xml:space="preserve">Notifies students and parents/guardians of this policy. </w:t>
      </w:r>
    </w:p>
    <w:p w:rsidR="00F15BB7" w:rsidRDefault="00F15BB7" w:rsidP="00F15BB7">
      <w:pPr>
        <w:pStyle w:val="CROSSREF"/>
      </w:pPr>
      <w:r>
        <w:lastRenderedPageBreak/>
        <w:t xml:space="preserve">Incorporated </w:t>
      </w:r>
    </w:p>
    <w:p w:rsidR="00F15BB7" w:rsidRDefault="00F15BB7" w:rsidP="00F15BB7">
      <w:pPr>
        <w:pStyle w:val="CROSSREF"/>
        <w:spacing w:before="0"/>
      </w:pPr>
      <w:proofErr w:type="gramStart"/>
      <w:r>
        <w:t>by</w:t>
      </w:r>
      <w:proofErr w:type="gramEnd"/>
      <w:r>
        <w:t xml:space="preserve"> Reference:</w:t>
      </w:r>
      <w:r>
        <w:tab/>
        <w:t>7:180-AP1, (Prevention, Identification, Investigation, and Response to Bullying)</w:t>
      </w:r>
    </w:p>
    <w:p w:rsidR="00F15BB7" w:rsidRDefault="00F15BB7" w:rsidP="00F15BB7">
      <w:pPr>
        <w:pStyle w:val="LEGALREF"/>
      </w:pPr>
      <w:r w:rsidRPr="006671AC">
        <w:t>LEGAL REF.:</w:t>
      </w:r>
      <w:r w:rsidRPr="006671AC">
        <w:tab/>
      </w:r>
      <w:r>
        <w:t>105 ILCS 110/3.10.</w:t>
      </w:r>
    </w:p>
    <w:p w:rsidR="00F15BB7" w:rsidRDefault="00F15BB7" w:rsidP="00F15BB7">
      <w:pPr>
        <w:pStyle w:val="CROSSREF"/>
      </w:pPr>
      <w:r>
        <w:t>CROSS REF.:</w:t>
      </w:r>
      <w:r>
        <w:tab/>
        <w:t>2:240 (</w:t>
      </w:r>
      <w:r w:rsidRPr="00A23288">
        <w:t>Board Policy Development</w:t>
      </w:r>
      <w:r>
        <w:t>),</w:t>
      </w:r>
      <w:r w:rsidRPr="00A23288">
        <w:t xml:space="preserve"> </w:t>
      </w:r>
      <w:r>
        <w:t>2:260 (Uniform Grievance Procedure), 2:265 (Title IX Sexual Harassment Grievance Procedure), 5:100 (Staff Development Program), 5:230 (Maintaining Student Discipline),</w:t>
      </w:r>
      <w:r w:rsidRPr="00F930BF">
        <w:t xml:space="preserve"> </w:t>
      </w:r>
      <w:r>
        <w:t>6:60 (</w:t>
      </w:r>
      <w:r w:rsidRPr="00F930BF">
        <w:t>Curriculum Content</w:t>
      </w:r>
      <w:r>
        <w:t>),</w:t>
      </w:r>
      <w:r w:rsidRPr="00F930BF">
        <w:t xml:space="preserve"> </w:t>
      </w:r>
      <w:r>
        <w:t>6</w:t>
      </w:r>
      <w:r w:rsidRPr="00F930BF">
        <w:t>:65</w:t>
      </w:r>
      <w:r>
        <w:t xml:space="preserve"> (</w:t>
      </w:r>
      <w:r w:rsidRPr="00F930BF">
        <w:t>Student Social and Emotional Development</w:t>
      </w:r>
      <w:r>
        <w:t>),</w:t>
      </w:r>
      <w:r w:rsidRPr="00F930BF">
        <w:t xml:space="preserve"> </w:t>
      </w:r>
      <w:r>
        <w:t>7:20 (</w:t>
      </w:r>
      <w:r w:rsidRPr="00F930BF">
        <w:t>Harassment of Students Prohibited</w:t>
      </w:r>
      <w:r>
        <w:t>),</w:t>
      </w:r>
      <w:r w:rsidRPr="00F930BF">
        <w:t xml:space="preserve"> </w:t>
      </w:r>
      <w:r>
        <w:t xml:space="preserve">7:180 (Prevention of and Response to Bullying, Intimidation, and Harassment), </w:t>
      </w:r>
      <w:r w:rsidRPr="0080490F">
        <w:t>7:190</w:t>
      </w:r>
      <w:r>
        <w:t xml:space="preserve"> (</w:t>
      </w:r>
      <w:r w:rsidRPr="00F930BF">
        <w:t xml:space="preserve">Student </w:t>
      </w:r>
      <w:r>
        <w:t>Behavior)</w:t>
      </w:r>
      <w:r w:rsidRPr="00F930BF">
        <w:t>,</w:t>
      </w:r>
      <w:r>
        <w:t xml:space="preserve"> 7:220 (Bus Conduct), 7:230 (Misconduct by Students with Disabilities), 7:240 (Conduct Code for Participants in Extracurricular Activities)</w:t>
      </w:r>
    </w:p>
    <w:p w:rsidR="002C6F5B" w:rsidRDefault="002C6F5B">
      <w:bookmarkStart w:id="0" w:name="_GoBack"/>
      <w:bookmarkEnd w:id="0"/>
    </w:p>
    <w:sectPr w:rsidR="002C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F34CB"/>
    <w:multiLevelType w:val="singleLevel"/>
    <w:tmpl w:val="3F5C0774"/>
    <w:lvl w:ilvl="0">
      <w:start w:val="1"/>
      <w:numFmt w:val="lowerLetter"/>
      <w:lvlText w:val="%1."/>
      <w:legacy w:legacy="1" w:legacySpace="0" w:legacyIndent="360"/>
      <w:lvlJc w:val="left"/>
      <w:pPr>
        <w:ind w:left="1080" w:hanging="360"/>
      </w:pPr>
    </w:lvl>
  </w:abstractNum>
  <w:abstractNum w:abstractNumId="1">
    <w:nsid w:val="2F8E0DC9"/>
    <w:multiLevelType w:val="singleLevel"/>
    <w:tmpl w:val="CECCDDDC"/>
    <w:lvl w:ilvl="0">
      <w:start w:val="1"/>
      <w:numFmt w:val="decimal"/>
      <w:lvlText w:val="%1."/>
      <w:legacy w:legacy="1" w:legacySpace="0" w:legacyIndent="360"/>
      <w:lvlJc w:val="left"/>
      <w:pPr>
        <w:ind w:left="720" w:hanging="360"/>
      </w:pPr>
    </w:lvl>
  </w:abstractNum>
  <w:abstractNum w:abstractNumId="2">
    <w:nsid w:val="7C0758F1"/>
    <w:multiLevelType w:val="singleLevel"/>
    <w:tmpl w:val="3F5C0774"/>
    <w:lvl w:ilvl="0">
      <w:start w:val="1"/>
      <w:numFmt w:val="lowerLetter"/>
      <w:lvlText w:val="%1."/>
      <w:legacy w:legacy="1" w:legacySpace="0" w:legacyIndent="360"/>
      <w:lvlJc w:val="left"/>
      <w:pPr>
        <w:ind w:left="10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B7"/>
    <w:rsid w:val="002C6F5B"/>
    <w:rsid w:val="00F1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59A30-7DA8-47EF-B20B-6EBD0FAB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B7"/>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15BB7"/>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F15BB7"/>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BB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15BB7"/>
    <w:rPr>
      <w:rFonts w:ascii="Arial" w:eastAsia="Times New Roman" w:hAnsi="Arial" w:cs="Times New Roman"/>
      <w:b/>
      <w:kern w:val="28"/>
      <w:szCs w:val="20"/>
      <w:u w:val="single"/>
    </w:rPr>
  </w:style>
  <w:style w:type="paragraph" w:styleId="BodyText">
    <w:name w:val="Body Text"/>
    <w:basedOn w:val="Normal"/>
    <w:link w:val="BodyTextChar"/>
    <w:rsid w:val="00F15BB7"/>
    <w:pPr>
      <w:spacing w:before="60" w:after="60"/>
      <w:jc w:val="both"/>
    </w:pPr>
  </w:style>
  <w:style w:type="character" w:customStyle="1" w:styleId="BodyTextChar">
    <w:name w:val="Body Text Char"/>
    <w:basedOn w:val="DefaultParagraphFont"/>
    <w:link w:val="BodyText"/>
    <w:rsid w:val="00F15BB7"/>
    <w:rPr>
      <w:rFonts w:ascii="Times New Roman" w:eastAsia="Times New Roman" w:hAnsi="Times New Roman" w:cs="Times New Roman"/>
      <w:kern w:val="28"/>
      <w:szCs w:val="20"/>
    </w:rPr>
  </w:style>
  <w:style w:type="paragraph" w:customStyle="1" w:styleId="LEGALREF">
    <w:name w:val="LEGAL REF"/>
    <w:basedOn w:val="Normal"/>
    <w:link w:val="LEGALREFChar"/>
    <w:rsid w:val="00F15BB7"/>
    <w:pPr>
      <w:keepNext/>
      <w:keepLines/>
      <w:tabs>
        <w:tab w:val="left" w:pos="1800"/>
      </w:tabs>
      <w:suppressAutoHyphens/>
      <w:spacing w:before="360"/>
      <w:ind w:left="2160" w:hanging="2160"/>
      <w:jc w:val="both"/>
    </w:pPr>
    <w:rPr>
      <w:spacing w:val="-2"/>
    </w:rPr>
  </w:style>
  <w:style w:type="paragraph" w:customStyle="1" w:styleId="CROSSREF">
    <w:name w:val="CROSS REF"/>
    <w:basedOn w:val="Normal"/>
    <w:link w:val="CROSSREFChar"/>
    <w:rsid w:val="00F15BB7"/>
    <w:pPr>
      <w:keepNext/>
      <w:keepLines/>
      <w:tabs>
        <w:tab w:val="left" w:pos="1800"/>
      </w:tabs>
      <w:spacing w:before="240"/>
      <w:ind w:left="1800" w:hanging="1800"/>
    </w:pPr>
  </w:style>
  <w:style w:type="paragraph" w:customStyle="1" w:styleId="ListAlphaLower">
    <w:name w:val="List Alpha Lower"/>
    <w:basedOn w:val="Normal"/>
    <w:link w:val="ListAlphaLowerChar"/>
    <w:rsid w:val="00F15BB7"/>
    <w:pPr>
      <w:ind w:left="1080" w:hanging="360"/>
      <w:jc w:val="both"/>
    </w:pPr>
  </w:style>
  <w:style w:type="paragraph" w:customStyle="1" w:styleId="LISTNUMBERDOUBLE">
    <w:name w:val="LIST NUMBER DOUBLE"/>
    <w:basedOn w:val="ListNumber2"/>
    <w:rsid w:val="00F15BB7"/>
    <w:pPr>
      <w:tabs>
        <w:tab w:val="clear" w:pos="360"/>
      </w:tabs>
      <w:spacing w:before="60" w:after="60"/>
      <w:contextualSpacing w:val="0"/>
      <w:jc w:val="both"/>
    </w:pPr>
  </w:style>
  <w:style w:type="character" w:customStyle="1" w:styleId="LEGALREFChar">
    <w:name w:val="LEGAL REF Char"/>
    <w:link w:val="LEGALREF"/>
    <w:rsid w:val="00F15BB7"/>
    <w:rPr>
      <w:rFonts w:ascii="Times New Roman" w:eastAsia="Times New Roman" w:hAnsi="Times New Roman" w:cs="Times New Roman"/>
      <w:spacing w:val="-2"/>
      <w:kern w:val="28"/>
      <w:szCs w:val="20"/>
    </w:rPr>
  </w:style>
  <w:style w:type="character" w:customStyle="1" w:styleId="CROSSREFChar">
    <w:name w:val="CROSS REF Char"/>
    <w:link w:val="CROSSREF"/>
    <w:rsid w:val="00F15BB7"/>
    <w:rPr>
      <w:rFonts w:ascii="Times New Roman" w:eastAsia="Times New Roman" w:hAnsi="Times New Roman" w:cs="Times New Roman"/>
      <w:kern w:val="28"/>
      <w:szCs w:val="20"/>
    </w:rPr>
  </w:style>
  <w:style w:type="character" w:customStyle="1" w:styleId="ListAlphaLowerChar">
    <w:name w:val="List Alpha Lower Char"/>
    <w:link w:val="ListAlphaLower"/>
    <w:rsid w:val="00F15BB7"/>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F15BB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2020-10-01T20:26:00Z</dcterms:created>
  <dcterms:modified xsi:type="dcterms:W3CDTF">2020-10-01T20:26:00Z</dcterms:modified>
</cp:coreProperties>
</file>